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00" w:afterAutospacing="1" w:line="240" w:lineRule="auto"/>
        <w:outlineLvl w:val="0"/>
        <w:rPr>
          <w:rFonts w:ascii="Times New Roman" w:eastAsia="Times New Roman" w:hAnsi="Times New Roman" w:cs="Times New Roman"/>
          <w:b/>
          <w:bCs/>
          <w:color w:val="000000"/>
          <w:kern w:val="36"/>
          <w:sz w:val="28"/>
          <w:szCs w:val="28"/>
        </w:rPr>
      </w:pPr>
      <w:bookmarkStart w:id="0" w:name="_GoBack"/>
      <w:r>
        <w:rPr>
          <w:rFonts w:ascii="Times New Roman" w:eastAsia="Times New Roman" w:hAnsi="Times New Roman" w:cs="Times New Roman"/>
          <w:b/>
          <w:bCs/>
          <w:color w:val="000000"/>
          <w:kern w:val="36"/>
          <w:sz w:val="28"/>
          <w:szCs w:val="28"/>
        </w:rPr>
        <w:t>Cập nhật mức lương tối thiểu vùng tại tỉnh Hà Tĩnh từ ngày 01/01/2026?</w:t>
      </w:r>
    </w:p>
    <w:p>
      <w:pPr>
        <w:rPr>
          <w:rFonts w:ascii="Times New Roman" w:eastAsia="Times New Roman" w:hAnsi="Times New Roman" w:cs="Times New Roman"/>
          <w:b/>
          <w:bCs/>
          <w:color w:val="5F5F5F"/>
          <w:sz w:val="28"/>
          <w:szCs w:val="28"/>
        </w:rPr>
      </w:pPr>
      <w:r>
        <w:rPr>
          <w:rFonts w:ascii="Times New Roman" w:eastAsia="Times New Roman" w:hAnsi="Times New Roman" w:cs="Times New Roman"/>
          <w:b/>
          <w:bCs/>
          <w:color w:val="5F5F5F"/>
          <w:sz w:val="28"/>
          <w:szCs w:val="28"/>
        </w:rPr>
        <w:t>Cập nhật mức lương tối thiểu vùng tại tỉnh Hà Tĩnh từ ngày 01/01/2026? Áp dụng mức lương tối thiểu được quy định như thế nào?</w:t>
      </w:r>
    </w:p>
    <w:p>
      <w:pPr>
        <w:pStyle w:val="Heading2"/>
        <w:shd w:val="clear" w:color="auto" w:fill="FFFFFF"/>
        <w:spacing w:before="0"/>
        <w:rPr>
          <w:rFonts w:ascii="Times New Roman" w:hAnsi="Times New Roman" w:cs="Times New Roman"/>
          <w:color w:val="212529"/>
          <w:sz w:val="28"/>
          <w:szCs w:val="28"/>
        </w:rPr>
      </w:pPr>
      <w:r>
        <w:rPr>
          <w:rStyle w:val="Strong"/>
          <w:rFonts w:ascii="Times New Roman" w:hAnsi="Times New Roman" w:cs="Times New Roman"/>
          <w:b w:val="0"/>
          <w:bCs w:val="0"/>
          <w:color w:val="212529"/>
          <w:sz w:val="28"/>
          <w:szCs w:val="28"/>
        </w:rPr>
        <w:t>Cập nhật mức lương tối thiểu vùng tại tỉnh Hà Tĩnh từ ngày 01/01/2026?</w:t>
      </w:r>
    </w:p>
    <w:p>
      <w:pPr>
        <w:pStyle w:val="NormalWeb"/>
        <w:shd w:val="clear" w:color="auto" w:fill="FFFFFF"/>
        <w:spacing w:before="0" w:beforeAutospacing="0"/>
        <w:rPr>
          <w:color w:val="212529"/>
          <w:sz w:val="28"/>
          <w:szCs w:val="28"/>
        </w:rPr>
      </w:pPr>
      <w:r>
        <w:rPr>
          <w:color w:val="212529"/>
          <w:sz w:val="28"/>
          <w:szCs w:val="28"/>
        </w:rPr>
        <w:t>Ngày 10/11/2025 Chính phủ đã chính thức ban hành </w:t>
      </w:r>
      <w:hyperlink r:id="rId4" w:tgtFrame="_blank" w:history="1">
        <w:r>
          <w:rPr>
            <w:rStyle w:val="Hyperlink"/>
            <w:color w:val="0E70A4"/>
            <w:sz w:val="28"/>
            <w:szCs w:val="28"/>
            <w:u w:val="none"/>
          </w:rPr>
          <w:t>Nghị định 293/2025/NĐ-CP</w:t>
        </w:r>
      </w:hyperlink>
      <w:r>
        <w:rPr>
          <w:color w:val="212529"/>
          <w:sz w:val="28"/>
          <w:szCs w:val="28"/>
        </w:rPr>
        <w:t> quy định mức lương tối thiểu đối với người lao động làm việc theo hợp đồng lao động có hiệu lực từ ngày 01/01/2026.</w:t>
      </w:r>
    </w:p>
    <w:p>
      <w:pPr>
        <w:pStyle w:val="NormalWeb"/>
        <w:shd w:val="clear" w:color="auto" w:fill="FFFFFF"/>
        <w:spacing w:before="0" w:beforeAutospacing="0"/>
        <w:rPr>
          <w:color w:val="212529"/>
          <w:sz w:val="28"/>
          <w:szCs w:val="28"/>
        </w:rPr>
      </w:pPr>
      <w:r>
        <w:rPr>
          <w:color w:val="212529"/>
          <w:sz w:val="28"/>
          <w:szCs w:val="28"/>
        </w:rPr>
        <w:t>Theo đó, căn cứ theo Phụ lục I được ban hành kèm theo </w:t>
      </w:r>
      <w:hyperlink r:id="rId5" w:tgtFrame="_blank" w:history="1">
        <w:r>
          <w:rPr>
            <w:rStyle w:val="Hyperlink"/>
            <w:color w:val="0E70A4"/>
            <w:sz w:val="28"/>
            <w:szCs w:val="28"/>
            <w:u w:val="none"/>
          </w:rPr>
          <w:t>Nghị định 293/2025/NĐ-CP</w:t>
        </w:r>
      </w:hyperlink>
      <w:r>
        <w:rPr>
          <w:color w:val="212529"/>
          <w:sz w:val="28"/>
          <w:szCs w:val="28"/>
        </w:rPr>
        <w:t> (có hiệu lực thi hành từ ngày 01/01/2026) phân chia các xã phường mới trên địa bàn tỉnh Hà Tĩnh sau khi sáp nhập vào các vùng cụ thể như sau:</w:t>
      </w:r>
    </w:p>
    <w:p>
      <w:pPr>
        <w:pStyle w:val="NormalWeb"/>
        <w:shd w:val="clear" w:color="auto" w:fill="FFFFFF"/>
        <w:spacing w:before="0" w:beforeAutospacing="0"/>
        <w:rPr>
          <w:color w:val="212529"/>
          <w:sz w:val="28"/>
          <w:szCs w:val="28"/>
        </w:rPr>
      </w:pPr>
      <w:r>
        <w:rPr>
          <w:color w:val="212529"/>
          <w:sz w:val="28"/>
          <w:szCs w:val="28"/>
        </w:rPr>
        <w:t>- Vùng III, gồm các phường Sông Trí, Hải Ninh, Hoành Sơn, Vũng Áng, Thành Sen, Trần Phú, Hà Huy Tập và các xã Thạch Lạc, Đồng Tiến, Thạch Khê, Cẩm Bình, Kỳ Hoa.</w:t>
      </w:r>
    </w:p>
    <w:p>
      <w:pPr>
        <w:pStyle w:val="NormalWeb"/>
        <w:shd w:val="clear" w:color="auto" w:fill="FFFFFF"/>
        <w:spacing w:before="0" w:beforeAutospacing="0"/>
        <w:rPr>
          <w:color w:val="212529"/>
          <w:sz w:val="28"/>
          <w:szCs w:val="28"/>
        </w:rPr>
      </w:pPr>
      <w:r>
        <w:rPr>
          <w:color w:val="212529"/>
          <w:sz w:val="28"/>
          <w:szCs w:val="28"/>
        </w:rPr>
        <w:t>- Vùng IV, gồm các xã, phường còn lại.</w:t>
      </w:r>
    </w:p>
    <w:p>
      <w:pPr>
        <w:pStyle w:val="NormalWeb"/>
        <w:shd w:val="clear" w:color="auto" w:fill="FFFFFF"/>
        <w:spacing w:before="0" w:beforeAutospacing="0"/>
        <w:rPr>
          <w:color w:val="212529"/>
          <w:sz w:val="28"/>
          <w:szCs w:val="28"/>
        </w:rPr>
      </w:pPr>
      <w:r>
        <w:rPr>
          <w:rStyle w:val="Strong"/>
          <w:rFonts w:eastAsiaTheme="majorEastAsia"/>
          <w:color w:val="212529"/>
          <w:sz w:val="28"/>
          <w:szCs w:val="28"/>
        </w:rPr>
        <w:t>Đồng thời</w:t>
      </w:r>
      <w:r>
        <w:rPr>
          <w:color w:val="212529"/>
          <w:sz w:val="28"/>
          <w:szCs w:val="28"/>
        </w:rPr>
        <w:t>, căn cứ theo quy định tại Điều 3</w:t>
      </w:r>
      <w:hyperlink r:id="rId6" w:tgtFrame="_blank" w:history="1">
        <w:r>
          <w:rPr>
            <w:rStyle w:val="Hyperlink"/>
            <w:color w:val="0E70A4"/>
            <w:sz w:val="28"/>
            <w:szCs w:val="28"/>
            <w:u w:val="none"/>
          </w:rPr>
          <w:t> Nghị định 293/2025/NĐ-CP</w:t>
        </w:r>
      </w:hyperlink>
      <w:r>
        <w:rPr>
          <w:color w:val="212529"/>
          <w:sz w:val="28"/>
          <w:szCs w:val="28"/>
        </w:rPr>
        <w:t> quy định mức lương tối thiểu vùng đối với người lao động làm việc theo hợp đồng lao động như sau:</w:t>
      </w:r>
    </w:p>
    <w:tbl>
      <w:tblPr>
        <w:tblW w:w="7295" w:type="dxa"/>
        <w:shd w:val="clear" w:color="auto" w:fill="FFFFFF"/>
        <w:tblCellMar>
          <w:top w:w="15" w:type="dxa"/>
          <w:left w:w="15" w:type="dxa"/>
          <w:bottom w:w="15" w:type="dxa"/>
          <w:right w:w="15" w:type="dxa"/>
        </w:tblCellMar>
        <w:tblLook w:val="04A0" w:firstRow="1" w:lastRow="0" w:firstColumn="1" w:lastColumn="0" w:noHBand="0" w:noVBand="1"/>
      </w:tblPr>
      <w:tblGrid>
        <w:gridCol w:w="945"/>
        <w:gridCol w:w="3397"/>
        <w:gridCol w:w="2953"/>
      </w:tblGrid>
      <w:tr>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rStyle w:val="Strong"/>
                <w:rFonts w:eastAsiaTheme="majorEastAsia"/>
                <w:color w:val="212529"/>
                <w:sz w:val="28"/>
                <w:szCs w:val="28"/>
              </w:rPr>
              <w:t>Vùng</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rStyle w:val="Strong"/>
                <w:rFonts w:eastAsiaTheme="majorEastAsia"/>
                <w:color w:val="212529"/>
                <w:sz w:val="28"/>
                <w:szCs w:val="28"/>
              </w:rPr>
              <w:t>Mức lương tối thiểu tháng (Đơn vị: đồng/tháng)</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rStyle w:val="Strong"/>
                <w:rFonts w:eastAsiaTheme="majorEastAsia"/>
                <w:color w:val="212529"/>
                <w:sz w:val="28"/>
                <w:szCs w:val="28"/>
              </w:rPr>
              <w:t>Mức lương tối thiểu giờ (Đơn vị: đồng/giờ)</w:t>
            </w:r>
          </w:p>
        </w:tc>
      </w:tr>
      <w:tr>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color w:val="212529"/>
                <w:sz w:val="28"/>
                <w:szCs w:val="28"/>
              </w:rPr>
              <w:t>Vùng I</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color w:val="212529"/>
                <w:sz w:val="28"/>
                <w:szCs w:val="28"/>
              </w:rPr>
              <w:t>5.310.000</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color w:val="212529"/>
                <w:sz w:val="28"/>
                <w:szCs w:val="28"/>
              </w:rPr>
              <w:t>25.500</w:t>
            </w:r>
          </w:p>
        </w:tc>
      </w:tr>
      <w:tr>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color w:val="212529"/>
                <w:sz w:val="28"/>
                <w:szCs w:val="28"/>
              </w:rPr>
              <w:t>Vùng II</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color w:val="212529"/>
                <w:sz w:val="28"/>
                <w:szCs w:val="28"/>
              </w:rPr>
              <w:t>4.730.000</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color w:val="212529"/>
                <w:sz w:val="28"/>
                <w:szCs w:val="28"/>
              </w:rPr>
              <w:t>22.700</w:t>
            </w:r>
          </w:p>
        </w:tc>
      </w:tr>
      <w:tr>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color w:val="212529"/>
                <w:sz w:val="28"/>
                <w:szCs w:val="28"/>
              </w:rPr>
              <w:t>Vùng III</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color w:val="212529"/>
                <w:sz w:val="28"/>
                <w:szCs w:val="28"/>
              </w:rPr>
              <w:t>4.140.000</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color w:val="212529"/>
                <w:sz w:val="28"/>
                <w:szCs w:val="28"/>
              </w:rPr>
              <w:t>20.000</w:t>
            </w:r>
          </w:p>
        </w:tc>
      </w:tr>
      <w:tr>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color w:val="212529"/>
                <w:sz w:val="28"/>
                <w:szCs w:val="28"/>
              </w:rPr>
              <w:t>Vùng IV</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color w:val="212529"/>
                <w:sz w:val="28"/>
                <w:szCs w:val="28"/>
              </w:rPr>
              <w:t>3.700.000</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hideMark/>
          </w:tcPr>
          <w:p>
            <w:pPr>
              <w:pStyle w:val="NormalWeb"/>
              <w:spacing w:before="0" w:beforeAutospacing="0"/>
              <w:jc w:val="center"/>
              <w:rPr>
                <w:color w:val="212529"/>
                <w:sz w:val="28"/>
                <w:szCs w:val="28"/>
              </w:rPr>
            </w:pPr>
            <w:r>
              <w:rPr>
                <w:color w:val="212529"/>
                <w:sz w:val="28"/>
                <w:szCs w:val="28"/>
              </w:rPr>
              <w:t>17.800</w:t>
            </w:r>
          </w:p>
        </w:tc>
      </w:tr>
    </w:tbl>
    <w:p>
      <w:pPr>
        <w:pStyle w:val="NormalWeb"/>
        <w:shd w:val="clear" w:color="auto" w:fill="FFFFFF"/>
        <w:spacing w:before="0" w:beforeAutospacing="0"/>
        <w:rPr>
          <w:color w:val="212529"/>
          <w:sz w:val="28"/>
          <w:szCs w:val="28"/>
        </w:rPr>
      </w:pPr>
      <w:r>
        <w:rPr>
          <w:color w:val="212529"/>
          <w:sz w:val="28"/>
          <w:szCs w:val="28"/>
        </w:rPr>
        <w:t>Như vậy, từ những quy định trên, mức lương tối thiểu vùng đối với người lao động làm việc theo hợp đồng lao động mới nhất trên địa bàn tỉnh Hà Tĩnh từ ngày 01/01/2026 như sau:</w:t>
      </w:r>
    </w:p>
    <w:p>
      <w:pPr>
        <w:pStyle w:val="NormalWeb"/>
        <w:shd w:val="clear" w:color="auto" w:fill="FFFFFF"/>
        <w:spacing w:before="0" w:beforeAutospacing="0"/>
        <w:rPr>
          <w:color w:val="212529"/>
          <w:sz w:val="28"/>
          <w:szCs w:val="28"/>
        </w:rPr>
      </w:pPr>
      <w:r>
        <w:rPr>
          <w:rStyle w:val="Strong"/>
          <w:rFonts w:eastAsiaTheme="majorEastAsia"/>
          <w:color w:val="212529"/>
          <w:sz w:val="28"/>
          <w:szCs w:val="28"/>
        </w:rPr>
        <w:lastRenderedPageBreak/>
        <w:t>(1) Mức lương tối thiểu tháng trên địa bàn tỉnh Hà Tĩnh mới nhất từ ngày 01/01/2026 như sau:</w:t>
      </w:r>
    </w:p>
    <w:p>
      <w:pPr>
        <w:pStyle w:val="NormalWeb"/>
        <w:shd w:val="clear" w:color="auto" w:fill="FFFFFF"/>
        <w:spacing w:before="0" w:beforeAutospacing="0"/>
        <w:rPr>
          <w:color w:val="212529"/>
          <w:sz w:val="28"/>
          <w:szCs w:val="28"/>
        </w:rPr>
      </w:pPr>
      <w:r>
        <w:rPr>
          <w:color w:val="212529"/>
          <w:sz w:val="28"/>
          <w:szCs w:val="28"/>
        </w:rPr>
        <w:t>- Đối với các xã, phường </w:t>
      </w:r>
      <w:r>
        <w:rPr>
          <w:rStyle w:val="Strong"/>
          <w:rFonts w:eastAsiaTheme="majorEastAsia"/>
          <w:color w:val="D11D1D"/>
          <w:sz w:val="28"/>
          <w:szCs w:val="28"/>
        </w:rPr>
        <w:t>thuộc vùng III mức lương tối thiểu tháng sẽ là 4.140.000 đồng/tháng.</w:t>
      </w:r>
    </w:p>
    <w:p>
      <w:pPr>
        <w:pStyle w:val="NormalWeb"/>
        <w:shd w:val="clear" w:color="auto" w:fill="FFFFFF"/>
        <w:spacing w:before="0" w:beforeAutospacing="0"/>
        <w:rPr>
          <w:color w:val="212529"/>
          <w:sz w:val="28"/>
          <w:szCs w:val="28"/>
        </w:rPr>
      </w:pPr>
      <w:r>
        <w:rPr>
          <w:color w:val="212529"/>
          <w:sz w:val="28"/>
          <w:szCs w:val="28"/>
        </w:rPr>
        <w:t>- Đối với các xã, phường </w:t>
      </w:r>
      <w:r>
        <w:rPr>
          <w:rStyle w:val="Strong"/>
          <w:rFonts w:eastAsiaTheme="majorEastAsia"/>
          <w:color w:val="D11D1D"/>
          <w:sz w:val="28"/>
          <w:szCs w:val="28"/>
        </w:rPr>
        <w:t>thuộc vùng IV mức lương tối thiểu tháng sẽ là 3.700.000 đồng/tháng.</w:t>
      </w:r>
    </w:p>
    <w:p>
      <w:pPr>
        <w:pStyle w:val="NormalWeb"/>
        <w:shd w:val="clear" w:color="auto" w:fill="FFFFFF"/>
        <w:spacing w:before="0" w:beforeAutospacing="0"/>
        <w:rPr>
          <w:color w:val="212529"/>
          <w:sz w:val="28"/>
          <w:szCs w:val="28"/>
        </w:rPr>
      </w:pPr>
      <w:r>
        <w:rPr>
          <w:rStyle w:val="Strong"/>
          <w:rFonts w:eastAsiaTheme="majorEastAsia"/>
          <w:color w:val="212529"/>
          <w:sz w:val="28"/>
          <w:szCs w:val="28"/>
        </w:rPr>
        <w:t>(2) Mức lương tối thiểu giờ trên địa bàn tỉnh Hà Tĩnh mới nhất từ ngày 01/01/2026 như sau:</w:t>
      </w:r>
    </w:p>
    <w:p>
      <w:pPr>
        <w:pStyle w:val="NormalWeb"/>
        <w:shd w:val="clear" w:color="auto" w:fill="FFFFFF"/>
        <w:spacing w:before="0" w:beforeAutospacing="0"/>
        <w:rPr>
          <w:color w:val="212529"/>
          <w:sz w:val="28"/>
          <w:szCs w:val="28"/>
        </w:rPr>
      </w:pPr>
      <w:r>
        <w:rPr>
          <w:color w:val="212529"/>
          <w:sz w:val="28"/>
          <w:szCs w:val="28"/>
        </w:rPr>
        <w:t>- Đối với các xã, phường </w:t>
      </w:r>
      <w:r>
        <w:rPr>
          <w:rStyle w:val="Strong"/>
          <w:rFonts w:eastAsiaTheme="majorEastAsia"/>
          <w:color w:val="D11D1D"/>
          <w:sz w:val="28"/>
          <w:szCs w:val="28"/>
        </w:rPr>
        <w:t>thuộc vùng III mức lương tối thiểu giờ sẽ là 20.000 đồng/giờ.</w:t>
      </w:r>
    </w:p>
    <w:p>
      <w:pPr>
        <w:pStyle w:val="NormalWeb"/>
        <w:shd w:val="clear" w:color="auto" w:fill="FFFFFF"/>
        <w:spacing w:before="0" w:beforeAutospacing="0"/>
        <w:rPr>
          <w:color w:val="212529"/>
          <w:sz w:val="28"/>
          <w:szCs w:val="28"/>
        </w:rPr>
      </w:pPr>
      <w:r>
        <w:rPr>
          <w:color w:val="212529"/>
          <w:sz w:val="28"/>
          <w:szCs w:val="28"/>
        </w:rPr>
        <w:t>- Đối với các xã, phường </w:t>
      </w:r>
      <w:r>
        <w:rPr>
          <w:rStyle w:val="Strong"/>
          <w:rFonts w:eastAsiaTheme="majorEastAsia"/>
          <w:color w:val="D11D1D"/>
          <w:sz w:val="28"/>
          <w:szCs w:val="28"/>
        </w:rPr>
        <w:t>thuộc vùng IV mức lương tối thiểu giờ sẽ là 17.800 đồng/giờ.</w:t>
      </w:r>
    </w:p>
    <w:p>
      <w:pPr>
        <w:pStyle w:val="NormalWeb"/>
        <w:shd w:val="clear" w:color="auto" w:fill="FFFFFF"/>
        <w:spacing w:before="0" w:beforeAutospacing="0"/>
        <w:rPr>
          <w:color w:val="212529"/>
          <w:sz w:val="28"/>
          <w:szCs w:val="28"/>
        </w:rPr>
      </w:pPr>
      <w:r>
        <w:rPr>
          <w:noProof/>
          <w:color w:val="212529"/>
          <w:sz w:val="28"/>
          <w:szCs w:val="28"/>
        </w:rPr>
        <w:drawing>
          <wp:inline distT="0" distB="0" distL="0" distR="0">
            <wp:extent cx="5716905" cy="3808730"/>
            <wp:effectExtent l="0" t="0" r="0" b="1270"/>
            <wp:docPr id="1" name="Picture 1" descr="Cập nhật mức lương tối thiểu vùng tại tỉnh Hà Tĩnh từ ngày 01/01/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ập nhật mức lương tối thiểu vùng tại tỉnh Hà Tĩnh từ ngày 01/01/20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905" cy="3808730"/>
                    </a:xfrm>
                    <a:prstGeom prst="rect">
                      <a:avLst/>
                    </a:prstGeom>
                    <a:noFill/>
                    <a:ln>
                      <a:noFill/>
                    </a:ln>
                  </pic:spPr>
                </pic:pic>
              </a:graphicData>
            </a:graphic>
          </wp:inline>
        </w:drawing>
      </w:r>
    </w:p>
    <w:p>
      <w:pPr>
        <w:pStyle w:val="NormalWeb"/>
        <w:shd w:val="clear" w:color="auto" w:fill="FFFFFF"/>
        <w:spacing w:before="0" w:beforeAutospacing="0"/>
        <w:jc w:val="center"/>
        <w:rPr>
          <w:color w:val="212529"/>
          <w:sz w:val="28"/>
          <w:szCs w:val="28"/>
        </w:rPr>
      </w:pPr>
      <w:r>
        <w:rPr>
          <w:rStyle w:val="Emphasis"/>
          <w:color w:val="212529"/>
          <w:sz w:val="28"/>
          <w:szCs w:val="28"/>
        </w:rPr>
        <w:t>Cập nhật mức lương tối thiểu vùng tại tỉnh Hà Tĩnh từ ngày 01/01/2026? (hình từ internet)</w:t>
      </w:r>
    </w:p>
    <w:p>
      <w:pPr>
        <w:pStyle w:val="Heading2"/>
        <w:shd w:val="clear" w:color="auto" w:fill="FFFFFF"/>
        <w:spacing w:before="0"/>
        <w:rPr>
          <w:rFonts w:ascii="Times New Roman" w:hAnsi="Times New Roman" w:cs="Times New Roman"/>
          <w:color w:val="212529"/>
          <w:sz w:val="28"/>
          <w:szCs w:val="28"/>
        </w:rPr>
      </w:pPr>
      <w:r>
        <w:rPr>
          <w:rStyle w:val="Strong"/>
          <w:rFonts w:ascii="Times New Roman" w:hAnsi="Times New Roman" w:cs="Times New Roman"/>
          <w:b w:val="0"/>
          <w:bCs w:val="0"/>
          <w:color w:val="212529"/>
          <w:sz w:val="28"/>
          <w:szCs w:val="28"/>
        </w:rPr>
        <w:lastRenderedPageBreak/>
        <w:t>Áp dụng mức lương tối thiểu được quy định như thế nào?</w:t>
      </w:r>
    </w:p>
    <w:p>
      <w:pPr>
        <w:pStyle w:val="NormalWeb"/>
        <w:shd w:val="clear" w:color="auto" w:fill="FFFFFF"/>
        <w:spacing w:before="0" w:beforeAutospacing="0"/>
        <w:rPr>
          <w:color w:val="212529"/>
          <w:sz w:val="28"/>
          <w:szCs w:val="28"/>
        </w:rPr>
      </w:pPr>
      <w:r>
        <w:rPr>
          <w:color w:val="212529"/>
          <w:sz w:val="28"/>
          <w:szCs w:val="28"/>
        </w:rPr>
        <w:t>Căn cứ theo quy định tại Điều 4 </w:t>
      </w:r>
      <w:hyperlink r:id="rId8" w:tgtFrame="_blank" w:history="1">
        <w:r>
          <w:rPr>
            <w:rStyle w:val="Hyperlink"/>
            <w:color w:val="0E70A4"/>
            <w:sz w:val="28"/>
            <w:szCs w:val="28"/>
          </w:rPr>
          <w:t>Nghị định 293/2025/NĐ-CP</w:t>
        </w:r>
      </w:hyperlink>
      <w:r>
        <w:rPr>
          <w:color w:val="212529"/>
          <w:sz w:val="28"/>
          <w:szCs w:val="28"/>
        </w:rPr>
        <w:t> thì áp dụng mức lương tối thiểu được quy định như sau:</w:t>
      </w:r>
    </w:p>
    <w:p>
      <w:pPr>
        <w:pStyle w:val="NormalWeb"/>
        <w:shd w:val="clear" w:color="auto" w:fill="FFFFFF"/>
        <w:spacing w:before="0" w:beforeAutospacing="0"/>
        <w:rPr>
          <w:color w:val="212529"/>
          <w:sz w:val="28"/>
          <w:szCs w:val="28"/>
        </w:rPr>
      </w:pPr>
      <w:r>
        <w:rPr>
          <w:rStyle w:val="Strong"/>
          <w:rFonts w:eastAsiaTheme="majorEastAsia"/>
          <w:color w:val="212529"/>
          <w:sz w:val="28"/>
          <w:szCs w:val="28"/>
        </w:rPr>
        <w:t>(1)</w:t>
      </w:r>
      <w:r>
        <w:rPr>
          <w:color w:val="212529"/>
          <w:sz w:val="28"/>
          <w:szCs w:val="28"/>
        </w:rPr>
        <w:t> Mức lương tối thiểu tháng là mức lương thấp nhất làm cơ sở để thỏa thuận và trả lương đối với người lao động áp dụng hình thức trả lương theo tháng, bảo đảm mức lương theo công việc hoặc chức danh của người lao động làm việc đủ thời giờ làm việc bình thường trong tháng và hoàn thành định mức lao động hoặc công việc đã thỏa thuận không được thấp hơn mức lương tối thiểu tháng.</w:t>
      </w:r>
    </w:p>
    <w:p>
      <w:pPr>
        <w:pStyle w:val="NormalWeb"/>
        <w:shd w:val="clear" w:color="auto" w:fill="FFFFFF"/>
        <w:spacing w:before="0" w:beforeAutospacing="0"/>
        <w:rPr>
          <w:color w:val="212529"/>
          <w:sz w:val="28"/>
          <w:szCs w:val="28"/>
        </w:rPr>
      </w:pPr>
      <w:r>
        <w:rPr>
          <w:rStyle w:val="Strong"/>
          <w:rFonts w:eastAsiaTheme="majorEastAsia"/>
          <w:color w:val="212529"/>
          <w:sz w:val="28"/>
          <w:szCs w:val="28"/>
        </w:rPr>
        <w:t>(2)</w:t>
      </w:r>
      <w:r>
        <w:rPr>
          <w:color w:val="212529"/>
          <w:sz w:val="28"/>
          <w:szCs w:val="28"/>
        </w:rPr>
        <w:t> Mức lương tối thiểu giờ là mức lương thấp nhất làm cơ sở để thỏa thuận và trả lương đối với người lao động áp dụng hình thức trả lương theo giờ, bảo đảm mức lương theo công việc hoặc chức danh của người lao động làm việc trong một giờ và hoàn thành định mức lao động hoặc công việc đã thỏa thuận không được thấp hơn mức lương tối thiểu giờ.</w:t>
      </w:r>
    </w:p>
    <w:p>
      <w:pPr>
        <w:pStyle w:val="NormalWeb"/>
        <w:shd w:val="clear" w:color="auto" w:fill="FFFFFF"/>
        <w:spacing w:before="0" w:beforeAutospacing="0"/>
        <w:rPr>
          <w:color w:val="212529"/>
          <w:sz w:val="28"/>
          <w:szCs w:val="28"/>
        </w:rPr>
      </w:pPr>
      <w:r>
        <w:rPr>
          <w:rStyle w:val="Strong"/>
          <w:rFonts w:eastAsiaTheme="majorEastAsia"/>
          <w:color w:val="212529"/>
          <w:sz w:val="28"/>
          <w:szCs w:val="28"/>
        </w:rPr>
        <w:t>(3)</w:t>
      </w:r>
      <w:r>
        <w:rPr>
          <w:color w:val="212529"/>
          <w:sz w:val="28"/>
          <w:szCs w:val="28"/>
        </w:rPr>
        <w:t> Đối với người lao động áp dụng hình thức trả lương theo tuần hoặc theo ngày hoặc theo sản phẩm hoặc lương khoán thì mức lương của các hình thức trả lương này nếu quy đổi theo tháng hoặc theo giờ không được thấp hơn mức lương tối thiểu tháng hoặc mức lương tối thiểu giờ. Mức lương quy đổi theo tháng hoặc theo giờ trên cơ sở thời giờ làm việc bình thường do người sử dụng lao động lựa chọn theo quy định của pháp luật lao động như sau:</w:t>
      </w:r>
    </w:p>
    <w:p>
      <w:pPr>
        <w:pStyle w:val="NormalWeb"/>
        <w:shd w:val="clear" w:color="auto" w:fill="FFFFFF"/>
        <w:spacing w:before="0" w:beforeAutospacing="0"/>
        <w:rPr>
          <w:color w:val="212529"/>
          <w:sz w:val="28"/>
          <w:szCs w:val="28"/>
        </w:rPr>
      </w:pPr>
      <w:r>
        <w:rPr>
          <w:color w:val="212529"/>
          <w:sz w:val="28"/>
          <w:szCs w:val="28"/>
        </w:rPr>
        <w:t>- Mức lương quy đổi theo tháng bằng mức lương theo tuần nhân với 52 tuần chia cho 12 tháng; hoặc mức lương theo ngày nhân với số ngày làm việc bình thường trong tháng; hoặc mức lương theo sản phẩm, lương khoán thực hiện trong thời giờ làm việc bình thường trong tháng.</w:t>
      </w:r>
    </w:p>
    <w:p>
      <w:pPr>
        <w:pStyle w:val="NormalWeb"/>
        <w:shd w:val="clear" w:color="auto" w:fill="FFFFFF"/>
        <w:spacing w:before="0" w:beforeAutospacing="0"/>
        <w:rPr>
          <w:color w:val="212529"/>
          <w:sz w:val="28"/>
          <w:szCs w:val="28"/>
        </w:rPr>
      </w:pPr>
      <w:r>
        <w:rPr>
          <w:color w:val="212529"/>
          <w:sz w:val="28"/>
          <w:szCs w:val="28"/>
        </w:rPr>
        <w:t>- Mức lương quy đổi theo giờ bằng mức lương theo tuần, theo ngày chia cho số giờ làm việc bình thường trong tuần, trong ngày; hoặc mức lương theo sản phẩm, lương khoán chia cho số giờ làm việc trong thời giờ làm việc bình thường để sản xuất sản phẩm, thực hiện nhiệm vụ khoán.</w:t>
      </w:r>
    </w:p>
    <w:p>
      <w:pPr>
        <w:pStyle w:val="Heading2"/>
        <w:shd w:val="clear" w:color="auto" w:fill="FFFFFF"/>
        <w:spacing w:before="0"/>
        <w:rPr>
          <w:rFonts w:ascii="Times New Roman" w:hAnsi="Times New Roman" w:cs="Times New Roman"/>
          <w:color w:val="212529"/>
          <w:sz w:val="28"/>
          <w:szCs w:val="28"/>
        </w:rPr>
      </w:pPr>
      <w:r>
        <w:rPr>
          <w:rStyle w:val="Strong"/>
          <w:rFonts w:ascii="Times New Roman" w:hAnsi="Times New Roman" w:cs="Times New Roman"/>
          <w:b w:val="0"/>
          <w:bCs w:val="0"/>
          <w:color w:val="212529"/>
          <w:sz w:val="28"/>
          <w:szCs w:val="28"/>
        </w:rPr>
        <w:t>Thời điểm xác định thu nhập chịu thuế thu nhập cá nhân từ tiền lương là khi nào?</w:t>
      </w:r>
    </w:p>
    <w:p>
      <w:pPr>
        <w:pStyle w:val="NormalWeb"/>
        <w:shd w:val="clear" w:color="auto" w:fill="FFFFFF"/>
        <w:spacing w:before="0" w:beforeAutospacing="0"/>
        <w:rPr>
          <w:color w:val="212529"/>
          <w:sz w:val="28"/>
          <w:szCs w:val="28"/>
        </w:rPr>
      </w:pPr>
      <w:r>
        <w:rPr>
          <w:color w:val="212529"/>
          <w:sz w:val="28"/>
          <w:szCs w:val="28"/>
        </w:rPr>
        <w:t>Căn cứ theo quy định tại Điều 11 </w:t>
      </w:r>
      <w:hyperlink r:id="rId9" w:tgtFrame="_blank" w:history="1">
        <w:r>
          <w:rPr>
            <w:rStyle w:val="Hyperlink"/>
            <w:color w:val="0E70A4"/>
            <w:sz w:val="28"/>
            <w:szCs w:val="28"/>
          </w:rPr>
          <w:t>Luật Thuế thu nhập cá nhân 2007</w:t>
        </w:r>
      </w:hyperlink>
      <w:r>
        <w:rPr>
          <w:color w:val="212529"/>
          <w:sz w:val="28"/>
          <w:szCs w:val="28"/>
        </w:rPr>
        <w:t> quy định về thu nhập chịu thuế từ tiền lương, tiền công như sau:</w:t>
      </w:r>
    </w:p>
    <w:p>
      <w:pPr>
        <w:shd w:val="clear" w:color="auto" w:fill="FFFFFF"/>
        <w:rPr>
          <w:rFonts w:ascii="Times New Roman" w:hAnsi="Times New Roman" w:cs="Times New Roman"/>
          <w:sz w:val="28"/>
          <w:szCs w:val="28"/>
        </w:rPr>
      </w:pPr>
      <w:r>
        <w:rPr>
          <w:rStyle w:val="Emphasis"/>
          <w:rFonts w:ascii="Times New Roman" w:hAnsi="Times New Roman" w:cs="Times New Roman"/>
          <w:b/>
          <w:bCs/>
          <w:sz w:val="28"/>
          <w:szCs w:val="28"/>
        </w:rPr>
        <w:t>Thu nhập chịu thuế từ tiền lương, tiền công</w:t>
      </w:r>
    </w:p>
    <w:p>
      <w:pPr>
        <w:shd w:val="clear" w:color="auto" w:fill="FFFFFF"/>
        <w:rPr>
          <w:rFonts w:ascii="Times New Roman" w:hAnsi="Times New Roman" w:cs="Times New Roman"/>
          <w:sz w:val="28"/>
          <w:szCs w:val="28"/>
        </w:rPr>
      </w:pPr>
      <w:r>
        <w:rPr>
          <w:rStyle w:val="Emphasis"/>
          <w:rFonts w:ascii="Times New Roman" w:hAnsi="Times New Roman" w:cs="Times New Roman"/>
          <w:sz w:val="28"/>
          <w:szCs w:val="28"/>
        </w:rPr>
        <w:lastRenderedPageBreak/>
        <w:t>1. Thu nhập chịu thuế từ tiền lương, tiền công được xác định bằng tổng số thu nhập quy định tại khoản 2 Điều 3 của Luật này mà đối tượng nộp thuế nhận được trong kỳ tính thuế.</w:t>
      </w:r>
    </w:p>
    <w:p>
      <w:pPr>
        <w:shd w:val="clear" w:color="auto" w:fill="FFFFFF"/>
        <w:rPr>
          <w:rFonts w:ascii="Times New Roman" w:hAnsi="Times New Roman" w:cs="Times New Roman"/>
          <w:sz w:val="28"/>
          <w:szCs w:val="28"/>
        </w:rPr>
      </w:pPr>
      <w:r>
        <w:rPr>
          <w:rStyle w:val="Emphasis"/>
          <w:rFonts w:ascii="Times New Roman" w:hAnsi="Times New Roman" w:cs="Times New Roman"/>
          <w:sz w:val="28"/>
          <w:szCs w:val="28"/>
        </w:rPr>
        <w:t>2. Thời điểm xác định thu nhập chịu thuế từ tiền lương, tiền công là thời điểm tổ chức, cá nhân trả thu nhập cho đối tượng nộp thuế hoặc thời điểm đối tượng nộp thuế nhận được thu nhập.</w:t>
      </w:r>
    </w:p>
    <w:p>
      <w:pPr>
        <w:pStyle w:val="NormalWeb"/>
        <w:shd w:val="clear" w:color="auto" w:fill="FFFFFF"/>
        <w:spacing w:before="375" w:beforeAutospacing="0"/>
        <w:rPr>
          <w:color w:val="212529"/>
          <w:sz w:val="28"/>
          <w:szCs w:val="28"/>
        </w:rPr>
      </w:pPr>
      <w:r>
        <w:rPr>
          <w:color w:val="212529"/>
          <w:sz w:val="28"/>
          <w:szCs w:val="28"/>
        </w:rPr>
        <w:t>Như vậy, thời điểm xác định thu nhập chịu thuế thu nhập cá nhân từ tiền lương tiền công là thời điểm tổ chức, cá nhân trả thu nhập cho đối tượng nộp thuế hoặc thời điểm đối tượng người nộp thuế nhận được thu nhập.</w:t>
      </w:r>
    </w:p>
    <w:bookmarkEnd w:id="0"/>
    <w:p>
      <w:pPr>
        <w:rPr>
          <w:rFonts w:ascii="Times New Roman" w:hAnsi="Times New Roman" w:cs="Times New Roman"/>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4AB66-7850-4776-8806-A4E5395B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400">
      <w:bodyDiv w:val="1"/>
      <w:marLeft w:val="0"/>
      <w:marRight w:val="0"/>
      <w:marTop w:val="0"/>
      <w:marBottom w:val="0"/>
      <w:divBdr>
        <w:top w:val="none" w:sz="0" w:space="0" w:color="auto"/>
        <w:left w:val="none" w:sz="0" w:space="0" w:color="auto"/>
        <w:bottom w:val="none" w:sz="0" w:space="0" w:color="auto"/>
        <w:right w:val="none" w:sz="0" w:space="0" w:color="auto"/>
      </w:divBdr>
    </w:div>
    <w:div w:id="1203135657">
      <w:bodyDiv w:val="1"/>
      <w:marLeft w:val="0"/>
      <w:marRight w:val="0"/>
      <w:marTop w:val="0"/>
      <w:marBottom w:val="0"/>
      <w:divBdr>
        <w:top w:val="none" w:sz="0" w:space="0" w:color="auto"/>
        <w:left w:val="none" w:sz="0" w:space="0" w:color="auto"/>
        <w:bottom w:val="none" w:sz="0" w:space="0" w:color="auto"/>
        <w:right w:val="none" w:sz="0" w:space="0" w:color="auto"/>
      </w:divBdr>
    </w:div>
    <w:div w:id="1496342882">
      <w:bodyDiv w:val="1"/>
      <w:marLeft w:val="0"/>
      <w:marRight w:val="0"/>
      <w:marTop w:val="0"/>
      <w:marBottom w:val="0"/>
      <w:divBdr>
        <w:top w:val="none" w:sz="0" w:space="0" w:color="auto"/>
        <w:left w:val="none" w:sz="0" w:space="0" w:color="auto"/>
        <w:bottom w:val="none" w:sz="0" w:space="0" w:color="auto"/>
        <w:right w:val="none" w:sz="0" w:space="0" w:color="auto"/>
      </w:divBdr>
      <w:divsChild>
        <w:div w:id="160703732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031585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92850666">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dinh-293-2025-ND-CP-quy-dinh-muc-luong-toi-thieu-lao-dong-lam-viec-theo-hop-dong-lao-dong-665866.aspx?anchor=dieu_4"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ao-dong-Tien-luong/Nghi-dinh-293-2025-ND-CP-quy-dinh-muc-luong-toi-thieu-lao-dong-lam-viec-theo-hop-dong-lao-dong-665866.aspx" TargetMode="External"/><Relationship Id="rId11" Type="http://schemas.openxmlformats.org/officeDocument/2006/relationships/theme" Target="theme/theme1.xml"/><Relationship Id="rId5" Type="http://schemas.openxmlformats.org/officeDocument/2006/relationships/hyperlink" Target="https://thuvienphapluat.vn/van-ban/Lao-dong-Tien-luong/Nghi-dinh-293-2025-ND-CP-quy-dinh-muc-luong-toi-thieu-lao-dong-lam-viec-theo-hop-dong-lao-dong-665866.aspx" TargetMode="External"/><Relationship Id="rId10" Type="http://schemas.openxmlformats.org/officeDocument/2006/relationships/fontTable" Target="fontTable.xml"/><Relationship Id="rId4" Type="http://schemas.openxmlformats.org/officeDocument/2006/relationships/hyperlink" Target="https://thuvienphapluat.vn/van-ban/Lao-dong-Tien-luong/Nghi-dinh-293-2025-ND-CP-quy-dinh-muc-luong-toi-thieu-lao-dong-lam-viec-theo-hop-dong-lao-dong-665866.aspx" TargetMode="External"/><Relationship Id="rId9" Type="http://schemas.openxmlformats.org/officeDocument/2006/relationships/hyperlink" Target="https://thuvienphapluat.vn/van-ban/Thue-Phi-Le-Phi/Luat-thue-thu-nhap-ca-nhan-2007-04-2007-QH12-59652.aspx?anchor=dieu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849</Words>
  <Characters>4844</Characters>
  <Application>Microsoft Office Word</Application>
  <DocSecurity>0</DocSecurity>
  <Lines>40</Lines>
  <Paragraphs>11</Paragraphs>
  <ScaleCrop>false</ScaleCrop>
  <Company>Microsoft</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2025-12-28T14:59:00Z</dcterms:created>
  <dcterms:modified xsi:type="dcterms:W3CDTF">2025-12-28T15:06:00Z</dcterms:modified>
</cp:coreProperties>
</file>