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88" w:lineRule="auto"/>
        <w:jc w:val="center"/>
        <w:outlineLvl w:val="0"/>
        <w:rPr>
          <w:rFonts w:ascii="Times New Roman" w:eastAsia="Times New Roman" w:hAnsi="Times New Roman" w:cs="Times New Roman"/>
          <w:b/>
          <w:bCs/>
          <w:color w:val="031739"/>
          <w:kern w:val="36"/>
          <w:sz w:val="28"/>
          <w:szCs w:val="28"/>
        </w:rPr>
      </w:pPr>
      <w:bookmarkStart w:id="0" w:name="_GoBack"/>
      <w:r>
        <w:rPr>
          <w:rFonts w:ascii="Times New Roman" w:eastAsia="Times New Roman" w:hAnsi="Times New Roman" w:cs="Times New Roman"/>
          <w:b/>
          <w:bCs/>
          <w:color w:val="031739"/>
          <w:kern w:val="36"/>
          <w:sz w:val="28"/>
          <w:szCs w:val="28"/>
        </w:rPr>
        <w:t>Những Luật, Nghị quyết có hiệu lực từ 1/1/2026</w:t>
      </w:r>
    </w:p>
    <w:p>
      <w:pPr>
        <w:spacing w:after="0" w:line="288" w:lineRule="auto"/>
        <w:jc w:val="center"/>
        <w:outlineLvl w:val="0"/>
        <w:rPr>
          <w:rFonts w:ascii="Times New Roman" w:eastAsia="Times New Roman" w:hAnsi="Times New Roman" w:cs="Times New Roman"/>
          <w:b/>
          <w:bCs/>
          <w:color w:val="031739"/>
          <w:kern w:val="36"/>
          <w:sz w:val="28"/>
          <w:szCs w:val="28"/>
        </w:rPr>
      </w:pPr>
    </w:p>
    <w:p>
      <w:pPr>
        <w:spacing w:after="0" w:line="288" w:lineRule="auto"/>
        <w:jc w:val="center"/>
        <w:outlineLvl w:val="0"/>
        <w:rPr>
          <w:rFonts w:ascii="Times New Roman" w:eastAsia="Times New Roman" w:hAnsi="Times New Roman" w:cs="Times New Roman"/>
          <w:b/>
          <w:bCs/>
          <w:color w:val="031739"/>
          <w:kern w:val="36"/>
          <w:sz w:val="28"/>
          <w:szCs w:val="28"/>
        </w:rPr>
      </w:pPr>
      <w:r>
        <w:rPr>
          <w:noProof/>
        </w:rPr>
        <w:drawing>
          <wp:inline distT="0" distB="0" distL="0" distR="0">
            <wp:extent cx="5524500" cy="2419350"/>
            <wp:effectExtent l="0" t="0" r="0" b="0"/>
            <wp:docPr id="5" name="Picture 5" descr="Những Luật, Nghị quyết có hiệu lực từ 1/1/2026-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Luật, Nghị quyết có hiệu lực từ 1/1/2026-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5284" cy="2419693"/>
                    </a:xfrm>
                    <a:prstGeom prst="rect">
                      <a:avLst/>
                    </a:prstGeom>
                    <a:noFill/>
                    <a:ln>
                      <a:noFill/>
                    </a:ln>
                  </pic:spPr>
                </pic:pic>
              </a:graphicData>
            </a:graphic>
          </wp:inline>
        </w:drawing>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 </w:t>
      </w:r>
      <w:r>
        <w:rPr>
          <w:rFonts w:ascii="Times New Roman" w:hAnsi="Times New Roman" w:cs="Times New Roman"/>
          <w:b/>
          <w:color w:val="152C4A"/>
          <w:sz w:val="28"/>
          <w:szCs w:val="28"/>
        </w:rPr>
        <w:t>Luật Tư pháp người chưa thành niên</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Tư pháp người chưa thành niên số 59/2024/QH15 gồm 10 chương và 179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t>Trong đó, để thể hiện chính sách nhân văn, tiến bộ, Luật quy định giảm mức phạt tù tối đa đối với người từ đủ 14 tuổi đến dưới 16 tuổi phạm tội từ 12 năm xuống 09 năm tù, đối với người từ đủ 16 tuổi đến dưới 18 tuổi từ 18 năm xuống 15 năm tù, trừ trường hợp phạm 05 loại tội xâm phạm tính mạng, sức khỏe và ma túy thì mức hình phạt theo quy định của pháp luật hiện hành: (1) Tội giết người; (2) Tội hiếp dâm; (3) Tội hiếp dâm người dưới 16 tuổi; (4) Tội cưỡng dâm người từ đủ 13 tuổi đến dưới 16 tuổi; (5) Tội sản xuất trái phép chất ma túy.</w:t>
      </w:r>
    </w:p>
    <w:p>
      <w:pPr>
        <w:pStyle w:val="NormalWeb"/>
        <w:spacing w:before="0" w:beforeAutospacing="0" w:after="0" w:afterAutospacing="0" w:line="288" w:lineRule="auto"/>
        <w:ind w:firstLine="720"/>
        <w:jc w:val="both"/>
        <w:rPr>
          <w:color w:val="152C4A"/>
          <w:sz w:val="28"/>
          <w:szCs w:val="28"/>
        </w:rPr>
      </w:pPr>
      <w:r>
        <w:rPr>
          <w:color w:val="152C4A"/>
          <w:sz w:val="28"/>
          <w:szCs w:val="28"/>
        </w:rPr>
        <w:t>Quy định này nhằm thể chế hóa yêu cầu của Đảng về “coi trọng việc hoàn thiện chính sách hình sự... đề cao hiệu quả phòng ngừa và tính hướng thiện trong xử lý người phạm tội” và phù hợp với xu hướng chung của các nước trên thế giới. </w:t>
      </w:r>
    </w:p>
    <w:p>
      <w:pPr>
        <w:pStyle w:val="NormalWeb"/>
        <w:spacing w:before="0" w:beforeAutospacing="0" w:after="0" w:afterAutospacing="0" w:line="288" w:lineRule="auto"/>
        <w:jc w:val="both"/>
        <w:rPr>
          <w:color w:val="152C4A"/>
          <w:sz w:val="28"/>
          <w:szCs w:val="28"/>
        </w:rPr>
      </w:pPr>
      <w:r>
        <w:rPr>
          <w:color w:val="152C4A"/>
          <w:sz w:val="28"/>
          <w:szCs w:val="28"/>
        </w:rPr>
        <w:t>Đồng thời vừa bảo đảm mức hình phạt và tổng hợp hình phạt phù hợp với người chưa thành niên, vừa bảo đảm tính nghiêm minh của pháp luật và an toàn cho cộng đồng.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2. </w:t>
      </w:r>
      <w:r>
        <w:rPr>
          <w:rFonts w:ascii="Times New Roman" w:hAnsi="Times New Roman" w:cs="Times New Roman"/>
          <w:b/>
          <w:color w:val="152C4A"/>
          <w:sz w:val="28"/>
          <w:szCs w:val="28"/>
        </w:rPr>
        <w:t>Luật Thuế tiêu thụ đặc biệt</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Thuế tiêu thụ đặc biệt số 66/2025/QH15 gồm 4 chương, 11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t xml:space="preserve">Ngoài những hàng hóa, dịch vụ chịu thuế tiêu thụ đặc biệt (TTĐB) kế thừa tại Luật Thuế TTĐB hiện hành, Luật Thuế TTĐB đã sửa đổi, bổ sung một số nội dung mới như sau: Bổ sung mặt hàng nước giải khát theo Tiêu chuẩn quốc gia (TCVN) </w:t>
      </w:r>
      <w:r>
        <w:rPr>
          <w:color w:val="152C4A"/>
          <w:sz w:val="28"/>
          <w:szCs w:val="28"/>
        </w:rPr>
        <w:lastRenderedPageBreak/>
        <w:t>có hàm lượng đường trên 5g/100 ml vào đối tượng chịu thuế; Quy định điều hòa nhiệt độ công suất trên 24.000 BTU đến 90.000 BTU (thay cho điều hoà nhiệt độ công suất từ 90.000 BTU trở xuống) thuộc đối tượng chịu thuế; Sửa đổi, bổ sung mô tả một số mặt hàng chịu thuế TTĐB (như thuốc lá, rượu, bia, ô tô, tàu bay) để đồng bộ với pháp luật chuyên ngành.</w:t>
      </w:r>
    </w:p>
    <w:p>
      <w:pPr>
        <w:pStyle w:val="NormalWeb"/>
        <w:spacing w:before="0" w:beforeAutospacing="0" w:after="0" w:afterAutospacing="0" w:line="288" w:lineRule="auto"/>
        <w:ind w:firstLine="720"/>
        <w:jc w:val="both"/>
        <w:rPr>
          <w:b/>
          <w:color w:val="152C4A"/>
          <w:sz w:val="28"/>
          <w:szCs w:val="28"/>
        </w:rPr>
      </w:pPr>
      <w:r>
        <w:rPr>
          <w:b/>
          <w:color w:val="152C4A"/>
          <w:sz w:val="28"/>
          <w:szCs w:val="28"/>
        </w:rPr>
        <w:t xml:space="preserve">3. </w:t>
      </w:r>
      <w:r>
        <w:rPr>
          <w:b/>
          <w:color w:val="152C4A"/>
          <w:sz w:val="28"/>
          <w:szCs w:val="28"/>
        </w:rPr>
        <w:t>Luật Hóa chất</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Hóa chất số 69/2025/QH15 năm 2025 đã sửa đổi, bổ sung một số quy định nhằm quản lý chặt chẽ hóa chất trong toàn bộ vòng đời từ sản xuất, kinh doanh, xuất khẩu, nhập khẩu, vận chuyển, tồn trữ, sử dụng hóa chất đến xử lý chất thải từ hoạt động hóa chất (Điều 10 - 16). </w:t>
      </w:r>
    </w:p>
    <w:p>
      <w:pPr>
        <w:pStyle w:val="NormalWeb"/>
        <w:spacing w:before="0" w:beforeAutospacing="0" w:after="0" w:afterAutospacing="0" w:line="288" w:lineRule="auto"/>
        <w:ind w:firstLine="720"/>
        <w:jc w:val="both"/>
        <w:rPr>
          <w:color w:val="152C4A"/>
          <w:sz w:val="28"/>
          <w:szCs w:val="28"/>
        </w:rPr>
      </w:pPr>
      <w:r>
        <w:rPr>
          <w:color w:val="152C4A"/>
          <w:sz w:val="28"/>
          <w:szCs w:val="28"/>
        </w:rPr>
        <w:t>Bên cạnh đó, để tăng hiệu lực, hiệu quả quản lý nhà nước, các hóa chất sẽ được phân loại theo danh mục (hóa chất cấm, hóa chất cần kiểm soát đặc biệt, hóa chất có điều kiện) và được quản lý với mức độ chặt chẽ tương ứng.</w:t>
      </w:r>
    </w:p>
    <w:p>
      <w:pPr>
        <w:pStyle w:val="NormalWeb"/>
        <w:spacing w:before="0" w:beforeAutospacing="0" w:after="0" w:afterAutospacing="0" w:line="288" w:lineRule="auto"/>
        <w:ind w:firstLine="720"/>
        <w:jc w:val="both"/>
        <w:rPr>
          <w:color w:val="152C4A"/>
          <w:sz w:val="28"/>
          <w:szCs w:val="28"/>
        </w:rPr>
      </w:pPr>
      <w:r>
        <w:rPr>
          <w:color w:val="152C4A"/>
          <w:sz w:val="28"/>
          <w:szCs w:val="28"/>
        </w:rPr>
        <w:t>Tổ chức, cá nhân mua, bán hóa chất cần kiểm soát đặc biệt phải lập phiếu kiểm soát mua, bán hóa chất cần kiểm soát đặc biệt và phải được xác thực dữ liệu về tổ chức, cá nhân mua, bán theo lộ trình thực hiện do Chính phủ quy định (khoản 4 Điều 11); Tổ chức, cá nhân sử dụng hóa chất cần kiểm soát đặc biệt phải công bố mục đích sử dụng (Điều 17). </w:t>
      </w:r>
    </w:p>
    <w:p>
      <w:pPr>
        <w:pStyle w:val="NormalWeb"/>
        <w:spacing w:before="0" w:beforeAutospacing="0" w:after="0" w:afterAutospacing="0" w:line="288" w:lineRule="auto"/>
        <w:ind w:firstLine="720"/>
        <w:jc w:val="both"/>
        <w:rPr>
          <w:color w:val="152C4A"/>
          <w:sz w:val="28"/>
          <w:szCs w:val="28"/>
        </w:rPr>
      </w:pPr>
      <w:r>
        <w:rPr>
          <w:color w:val="152C4A"/>
          <w:sz w:val="28"/>
          <w:szCs w:val="28"/>
        </w:rPr>
        <w:t>Các quy định nêu trên sẽ được thực hiện trên Cơ sở dữ liệu chuyên ngành hóa chất, từ đó cơ quan quản lý sẽ kiểm soát được toàn bộ “đường đi” của hóa chất, từ nhà sản xuất, nhập khẩu tới đơn vị sử dụng cuối cùng.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4. </w:t>
      </w:r>
      <w:r>
        <w:rPr>
          <w:rFonts w:ascii="Times New Roman" w:hAnsi="Times New Roman" w:cs="Times New Roman"/>
          <w:b/>
          <w:color w:val="152C4A"/>
          <w:sz w:val="28"/>
          <w:szCs w:val="28"/>
        </w:rPr>
        <w:t>Luật Công nghiệp công nghệ số</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Công nghiệp công nghệ số 71/2025/QH15 quy định các giải pháp và chính sách toàn diện cho phát triển nguồn nhân lực phục vụ phát triển ngành công nghiệp công nghệ số.</w:t>
      </w:r>
    </w:p>
    <w:p>
      <w:pPr>
        <w:pStyle w:val="NormalWeb"/>
        <w:spacing w:before="0" w:beforeAutospacing="0" w:after="0" w:afterAutospacing="0" w:line="288" w:lineRule="auto"/>
        <w:ind w:firstLine="720"/>
        <w:jc w:val="both"/>
        <w:rPr>
          <w:color w:val="152C4A"/>
          <w:sz w:val="28"/>
          <w:szCs w:val="28"/>
        </w:rPr>
      </w:pPr>
      <w:r>
        <w:rPr>
          <w:color w:val="152C4A"/>
          <w:sz w:val="28"/>
          <w:szCs w:val="28"/>
        </w:rPr>
        <w:t>Cụ thể, nhân lực công nghiệp công nghệ số chất lượng cao là người nước ngoài được cấp thẻ tạm trú có thời hạn 5 năm và được gia hạn theo quy định pháp luật về nhập cảnh, xuất cảnh, quá cảnh, cư trú của người nước ngoài tại Việt Nam.</w:t>
      </w:r>
    </w:p>
    <w:p>
      <w:pPr>
        <w:pStyle w:val="NormalWeb"/>
        <w:spacing w:before="0" w:beforeAutospacing="0" w:after="0" w:afterAutospacing="0" w:line="288" w:lineRule="auto"/>
        <w:jc w:val="both"/>
        <w:rPr>
          <w:color w:val="152C4A"/>
          <w:sz w:val="28"/>
          <w:szCs w:val="28"/>
        </w:rPr>
      </w:pPr>
      <w:r>
        <w:rPr>
          <w:color w:val="152C4A"/>
          <w:sz w:val="28"/>
          <w:szCs w:val="28"/>
        </w:rPr>
        <w:t>Nhân lực công nghiệp công nghệ số chất lượng cao được hưởng ưu đãi thuế thu nhập cá nhân theo quy định của pháp luật về thuế thu nhập cá nhân.</w:t>
      </w:r>
    </w:p>
    <w:p>
      <w:pPr>
        <w:pStyle w:val="NormalWeb"/>
        <w:spacing w:before="0" w:beforeAutospacing="0" w:after="0" w:afterAutospacing="0" w:line="288" w:lineRule="auto"/>
        <w:ind w:firstLine="720"/>
        <w:jc w:val="both"/>
        <w:rPr>
          <w:color w:val="152C4A"/>
          <w:sz w:val="28"/>
          <w:szCs w:val="28"/>
        </w:rPr>
      </w:pPr>
      <w:r>
        <w:rPr>
          <w:color w:val="152C4A"/>
          <w:sz w:val="28"/>
          <w:szCs w:val="28"/>
        </w:rPr>
        <w:t xml:space="preserve">Nhân lực công nghiệp công nghệ số chất lượng cao trong tổ chức, doanh nghiệp công nghệ số được tiếp nhận có thời hạn làm việc tại cơ quan nhà nước hoặc đơn vị sự nghiệp công lập trên cơ sở thống nhất của người đứng đầu cơ quan, đơn vị </w:t>
      </w:r>
      <w:r>
        <w:rPr>
          <w:color w:val="152C4A"/>
          <w:sz w:val="28"/>
          <w:szCs w:val="28"/>
        </w:rPr>
        <w:lastRenderedPageBreak/>
        <w:t>và tổ chức, doanh nghiệp về hình thức tiếp nhận, thời gian làm việc, vị trí việc làm và quyền lợi của người được tiếp nhận; đồng thời bảo đảm sự đồng thuận của người được tiếp nhận.</w:t>
      </w:r>
    </w:p>
    <w:p>
      <w:pPr>
        <w:pStyle w:val="NormalWeb"/>
        <w:spacing w:before="0" w:beforeAutospacing="0" w:after="0" w:afterAutospacing="0" w:line="288" w:lineRule="auto"/>
        <w:ind w:firstLine="720"/>
        <w:jc w:val="both"/>
        <w:rPr>
          <w:color w:val="152C4A"/>
          <w:sz w:val="28"/>
          <w:szCs w:val="28"/>
        </w:rPr>
      </w:pPr>
      <w:r>
        <w:rPr>
          <w:color w:val="152C4A"/>
          <w:sz w:val="28"/>
          <w:szCs w:val="28"/>
        </w:rPr>
        <w:t>Nhân tài công nghệ số được hưởng cơ chế đặc biệt về lương, thưởng cạnh tranh với mức lương, thưởng trên thế giới; được ưu tiên tuyển dụng, sử dụng, bổ nhiệm theo quy định pháp luật về cán bộ, công chức, viên chức;</w:t>
      </w:r>
    </w:p>
    <w:p>
      <w:pPr>
        <w:pStyle w:val="NormalWeb"/>
        <w:spacing w:before="0" w:beforeAutospacing="0" w:after="0" w:afterAutospacing="0" w:line="288" w:lineRule="auto"/>
        <w:ind w:firstLine="720"/>
        <w:jc w:val="both"/>
        <w:rPr>
          <w:color w:val="152C4A"/>
          <w:sz w:val="28"/>
          <w:szCs w:val="28"/>
        </w:rPr>
      </w:pPr>
      <w:r>
        <w:rPr>
          <w:color w:val="152C4A"/>
          <w:sz w:val="28"/>
          <w:szCs w:val="28"/>
        </w:rPr>
        <w:t>Nhân tài công nghệ số được hỗ trợ về môi trường làm việc, không gian sống, nhà ở, phương tiện đi lại; được hỗ trợ tham gia hoạt động hợp tác quốc tế về công nghiệp công nghệ số; được hỗ trợ tài chính về cơ sở vật chất cho nghiên cứu và phát triển trong lĩnh vực công nghệ số.</w:t>
      </w:r>
    </w:p>
    <w:p>
      <w:pPr>
        <w:spacing w:after="0" w:line="288" w:lineRule="auto"/>
        <w:jc w:val="both"/>
        <w:rPr>
          <w:rFonts w:ascii="Times New Roman" w:hAnsi="Times New Roman" w:cs="Times New Roman"/>
          <w:sz w:val="28"/>
          <w:szCs w:val="28"/>
        </w:rPr>
      </w:pPr>
      <w:r>
        <w:rPr>
          <w:rFonts w:ascii="Times New Roman" w:hAnsi="Times New Roman" w:cs="Times New Roman"/>
          <w:noProof/>
          <w:color w:val="0000FF"/>
          <w:sz w:val="28"/>
          <w:szCs w:val="28"/>
        </w:rPr>
        <w:drawing>
          <wp:inline distT="0" distB="0" distL="0" distR="0">
            <wp:extent cx="5876925" cy="2838450"/>
            <wp:effectExtent l="0" t="0" r="9525" b="0"/>
            <wp:docPr id="4" name="Picture 4" descr="Những Luật, Nghị quyết có hiệu lực từ 1/1/2026- Ảnh 2.">
              <a:hlinkClick xmlns:a="http://schemas.openxmlformats.org/drawingml/2006/main" r:id="rId5" tgtFrame="&quot;_blank&quot;" tooltip="&quot;Luật Nhà giáo quy định tất cả nhà giáo cả công lập và ngoài công lập được hưởng chế độ trợ cấp theo tính chất công việc, theo vù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8163276815220736" descr="Những Luật, Nghị quyết có hiệu lực từ 1/1/2026- Ảnh 2.">
                      <a:hlinkClick r:id="rId5" tgtFrame="&quot;_blank&quot;" tooltip="&quot;Luật Nhà giáo quy định tất cả nhà giáo cả công lập và ngoài công lập được hưởng chế độ trợ cấp theo tính chất công việc, theo vù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6925" cy="2838450"/>
                    </a:xfrm>
                    <a:prstGeom prst="rect">
                      <a:avLst/>
                    </a:prstGeom>
                    <a:noFill/>
                    <a:ln>
                      <a:noFill/>
                    </a:ln>
                  </pic:spPr>
                </pic:pic>
              </a:graphicData>
            </a:graphic>
          </wp:inline>
        </w:drawing>
      </w:r>
    </w:p>
    <w:p>
      <w:pPr>
        <w:pStyle w:val="NormalWeb"/>
        <w:spacing w:before="0" w:beforeAutospacing="0" w:after="0" w:afterAutospacing="0" w:line="288" w:lineRule="auto"/>
        <w:jc w:val="center"/>
        <w:rPr>
          <w:color w:val="333333"/>
          <w:sz w:val="28"/>
          <w:szCs w:val="28"/>
        </w:rPr>
      </w:pPr>
      <w:r>
        <w:rPr>
          <w:color w:val="333333"/>
          <w:sz w:val="28"/>
          <w:szCs w:val="28"/>
        </w:rPr>
        <w:t>Luật Nhà giáo quy định tất cả nhà giáo cả công lập và ngoài công lập được hưởng chế độ trợ cấp theo tính chất công việc, theo vùng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5. </w:t>
      </w:r>
      <w:r>
        <w:rPr>
          <w:rFonts w:ascii="Times New Roman" w:hAnsi="Times New Roman" w:cs="Times New Roman"/>
          <w:b/>
          <w:color w:val="152C4A"/>
          <w:sz w:val="28"/>
          <w:szCs w:val="28"/>
        </w:rPr>
        <w:t>Luật Nhà giáo</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Nhà giáo số 73/2025/QH15 gồm 9 chương, 42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t>Trong đó, Luật Nhà giáo quy định tất cả nhà giáo cả công lập và ngoài công lập được hưởng chế độ trợ cấp theo tính chất công việc, theo vùng; chế độ hỗ trợ đào tạo, bồi dưỡng; chế độ hỗ trợ chăm sóc sức khỏe định kỳ, chăm sóc sức khỏe nghề nghiệp; được bố trí nhà ở công vụ hoặc chỗ ở tập thể hoặc hỗ trợ tiền thuê nhà khi công tác ở vùng đặc biệt khó khăn.</w:t>
      </w:r>
    </w:p>
    <w:p>
      <w:pPr>
        <w:pStyle w:val="NormalWeb"/>
        <w:spacing w:before="0" w:beforeAutospacing="0" w:after="0" w:afterAutospacing="0" w:line="288" w:lineRule="auto"/>
        <w:ind w:firstLine="720"/>
        <w:jc w:val="both"/>
        <w:rPr>
          <w:color w:val="152C4A"/>
          <w:sz w:val="28"/>
          <w:szCs w:val="28"/>
        </w:rPr>
      </w:pPr>
      <w:r>
        <w:rPr>
          <w:color w:val="152C4A"/>
          <w:sz w:val="28"/>
          <w:szCs w:val="28"/>
        </w:rPr>
        <w:lastRenderedPageBreak/>
        <w:t>Đồng thời, có chính sách thu hút, trọng dụng đối với người có trình độ cao, có tài năng, có năng khiếu đặc biệt, có kỹ năng nghề cao; đến làm việc tại vùng đặc biệt khó khăn; nhà giáo trong một số lĩnh vực trọng yếu, thiết yếu…</w:t>
      </w:r>
    </w:p>
    <w:p>
      <w:pPr>
        <w:pStyle w:val="NormalWeb"/>
        <w:spacing w:before="0" w:beforeAutospacing="0" w:after="0" w:afterAutospacing="0" w:line="288" w:lineRule="auto"/>
        <w:ind w:firstLine="720"/>
        <w:jc w:val="both"/>
        <w:rPr>
          <w:color w:val="152C4A"/>
          <w:sz w:val="28"/>
          <w:szCs w:val="28"/>
        </w:rPr>
      </w:pPr>
      <w:r>
        <w:rPr>
          <w:color w:val="152C4A"/>
          <w:sz w:val="28"/>
          <w:szCs w:val="28"/>
        </w:rPr>
        <w:t>Cùng với chế độ tiền lương, các chính sách đãi ngộ, hỗ trợ, thu hút nhà giáo là giải pháp tổng thể nhằm thu hút người giỏi vào ngành sư phạm, thu hút người giỏi ở các ngành nghề trọng yếu trở thành nhà giáo, thu hút nhà giáo về các vùng khó khăn công tác, bảo đảm chất lượng đồng đều giữa các vùng miền và giữ chân nhà giáo công tác lâu năm trong Ngành.</w:t>
      </w:r>
    </w:p>
    <w:p>
      <w:pPr>
        <w:pStyle w:val="NormalWeb"/>
        <w:spacing w:before="0" w:beforeAutospacing="0" w:after="0" w:afterAutospacing="0" w:line="288" w:lineRule="auto"/>
        <w:ind w:firstLine="720"/>
        <w:jc w:val="both"/>
        <w:rPr>
          <w:color w:val="152C4A"/>
          <w:sz w:val="28"/>
          <w:szCs w:val="28"/>
        </w:rPr>
      </w:pPr>
      <w:r>
        <w:rPr>
          <w:color w:val="152C4A"/>
          <w:sz w:val="28"/>
          <w:szCs w:val="28"/>
        </w:rPr>
        <w:t>Bên cạnh đó, Luật Nhà giáo quy định: giáo viên mầm non nếu có nguyện vọng thì được nghỉ hưu ở tuổi thấp hơn không quá 5 năm so với quy định của Bộ luật Lao động và không bị giảm tỷ lệ phần trăm hưởng lương hưu do việc nghỉ hưu trước tuổi nếu có đủ 15 năm đóng bảo hiểm xã hội. Giáo sư, phó giáo sư, tiến sĩ hoặc nhà giáo làm việc trong lĩnh vực chuyên sâu đặc thù được nghỉ hưu ở tuổi cao hơn.</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6. </w:t>
      </w:r>
      <w:r>
        <w:rPr>
          <w:rFonts w:ascii="Times New Roman" w:hAnsi="Times New Roman" w:cs="Times New Roman"/>
          <w:b/>
          <w:color w:val="152C4A"/>
          <w:sz w:val="28"/>
          <w:szCs w:val="28"/>
        </w:rPr>
        <w:t>Luật Việc làm</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Việc làm số 74/2025/QH15 được Quốc hội khoá XV thông qua ngày 16/6/2025, gồm 08 Chương, 55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Việc làm năm 2025 quy định chính sách hỗ trợ tạo việc làm, đăng ký lao động, hệ thống thông tin thị trường lao động, phát triển kỹ năng nghề, dịch vụ việc làm, bảo hiểm thất nghiệp, quản lý nhà nước về việc làm và áp dụng đối với tất cả người lao động là công dân Việt Nam từ đủ 15 tuổi trở lên có khả năng lao động và có nhu cầu làm việc (bao gồm cả người lao động có quan hệ lao động và người lao động không có quan hệ lao động, người thất nghiệp).</w:t>
      </w:r>
    </w:p>
    <w:p>
      <w:pPr>
        <w:pStyle w:val="NormalWeb"/>
        <w:spacing w:before="0" w:beforeAutospacing="0" w:after="0" w:afterAutospacing="0" w:line="288" w:lineRule="auto"/>
        <w:ind w:firstLine="720"/>
        <w:jc w:val="both"/>
        <w:rPr>
          <w:color w:val="152C4A"/>
          <w:sz w:val="28"/>
          <w:szCs w:val="28"/>
        </w:rPr>
      </w:pPr>
      <w:r>
        <w:rPr>
          <w:b/>
          <w:bCs/>
          <w:color w:val="152C4A"/>
          <w:sz w:val="28"/>
          <w:szCs w:val="28"/>
        </w:rPr>
        <w:t>Luật Việc làm năm 2025 đã tập trung sửa đổi các nội dung lớn, trọng tâm như: </w:t>
      </w:r>
      <w:r>
        <w:rPr>
          <w:color w:val="152C4A"/>
          <w:sz w:val="28"/>
          <w:szCs w:val="28"/>
        </w:rPr>
        <w:t>mở rộng đối tượng tham gia bảo hiểm thất nghiệp nhằm tăng cường diện bao phủ chính sách và phù hợp với Luật Bảo hiểm xã hội năm 2024; linh hoạt mức đóng bảo hiểm thất nghiệp (tối đa bằng 1% tiền lương tháng); đơn giản hoá điều kiện, giảm thủ tục hành chính cho người lao động và người sử dụng lao động trong tiếp cận và thụ hưởng các chế độ bảo hiểm thất nghiệp (Tư vấn, giới thiệu việc làm; Hỗ trợ người lao động tham gia đào tạo, nâng cao trình độ kỹ năng nghề; Trợ cấp thất nghiệp; Hỗ trợ người sử dụng lao động đào tạo, bồi dưỡng, nâng cao trình độ kỹ năng nghề để duy trì việc làm cho người lao động).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lastRenderedPageBreak/>
        <w:t xml:space="preserve">7. </w:t>
      </w:r>
      <w:r>
        <w:rPr>
          <w:rFonts w:ascii="Times New Roman" w:hAnsi="Times New Roman" w:cs="Times New Roman"/>
          <w:b/>
          <w:color w:val="152C4A"/>
          <w:sz w:val="28"/>
          <w:szCs w:val="28"/>
        </w:rPr>
        <w:t>Luật sửa đổi, bổ sung một số điều của Luật Quảng cáo</w:t>
      </w:r>
    </w:p>
    <w:p>
      <w:pPr>
        <w:pStyle w:val="NormalWeb"/>
        <w:spacing w:before="0" w:beforeAutospacing="0" w:after="0" w:afterAutospacing="0" w:line="288" w:lineRule="auto"/>
        <w:ind w:firstLine="720"/>
        <w:jc w:val="both"/>
        <w:rPr>
          <w:color w:val="152C4A"/>
          <w:sz w:val="28"/>
          <w:szCs w:val="28"/>
        </w:rPr>
      </w:pPr>
      <w:r>
        <w:rPr>
          <w:color w:val="152C4A"/>
          <w:sz w:val="28"/>
          <w:szCs w:val="28"/>
        </w:rPr>
        <w:t>Ngày 16/6/2025, tại Kỳ họp thứ 9, Quốc hội hóa XV đã thông qua Luật sửa đổi, bổ sung một số điều của Luật Quảng cáo số 75/2025/QH15, có hiệu lực thi hành từ ngày 01/01/2026.</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sửa đổi, bổ sung một số điều của Luật quảng cáo được thông qua với nhiều nội dung mới không chỉ khắc phục những tồn tại, hạn chế của pháp luật về quảng cáo hiện hành mà còn thực hiện cải cách thủ tục hành chính triệt để, phân cấp, phân quyền tối đa theo tinh thần Hội nghị Trung ương 10.</w:t>
      </w:r>
    </w:p>
    <w:p>
      <w:pPr>
        <w:pStyle w:val="NormalWeb"/>
        <w:spacing w:before="0" w:beforeAutospacing="0" w:after="0" w:afterAutospacing="0" w:line="288" w:lineRule="auto"/>
        <w:ind w:firstLine="720"/>
        <w:jc w:val="both"/>
        <w:rPr>
          <w:color w:val="152C4A"/>
          <w:sz w:val="28"/>
          <w:szCs w:val="28"/>
        </w:rPr>
      </w:pPr>
      <w:r>
        <w:rPr>
          <w:color w:val="152C4A"/>
          <w:sz w:val="28"/>
          <w:szCs w:val="28"/>
        </w:rPr>
        <w:t>Đồng thời, bổ sung các quy định về quản lý hoạt động quảng cáo trên mạng nhằm tạo ra môi trường kinh doanh minh bạch, bình đẳng, thông thoáng trước bối cảnh hội nhập kinh tế, giao thoa văn hoá và sự phát triển của khoa học và công nghệ hiện nay.</w:t>
      </w:r>
    </w:p>
    <w:p>
      <w:pPr>
        <w:pStyle w:val="NormalWeb"/>
        <w:spacing w:before="0" w:beforeAutospacing="0" w:after="0" w:afterAutospacing="0" w:line="288" w:lineRule="auto"/>
        <w:ind w:firstLine="720"/>
        <w:jc w:val="both"/>
        <w:rPr>
          <w:color w:val="152C4A"/>
          <w:sz w:val="28"/>
          <w:szCs w:val="28"/>
        </w:rPr>
      </w:pPr>
      <w:r>
        <w:rPr>
          <w:b/>
          <w:bCs/>
          <w:color w:val="152C4A"/>
          <w:sz w:val="28"/>
          <w:szCs w:val="28"/>
        </w:rPr>
        <w:t>Luật Quảng cáo đã tập trung vào 03 chính sách lớn, </w:t>
      </w:r>
      <w:r>
        <w:rPr>
          <w:color w:val="152C4A"/>
          <w:sz w:val="28"/>
          <w:szCs w:val="28"/>
        </w:rPr>
        <w:t>gồm: Hoàn thiện các quy định về nội dung và hình thức quảng cáo phù hợp với sự phát triển đa dạng của hoạt động quảng cáo; hoàn thiện quy định về quản lý hoạt động quảng cáo trên báo chí, môi trường mạng và dịch vụ quảng cáo xuyên biên giới; hoàn thiện quy định đối với hoạt động quảng cáo ngoài trời.</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8. </w:t>
      </w:r>
      <w:r>
        <w:rPr>
          <w:rFonts w:ascii="Times New Roman" w:hAnsi="Times New Roman" w:cs="Times New Roman"/>
          <w:b/>
          <w:color w:val="152C4A"/>
          <w:sz w:val="28"/>
          <w:szCs w:val="28"/>
        </w:rPr>
        <w:t>Luật sửa đổi, bổ sung một số điều của Luật Sử dụng năng lượng tiết kiệm và hiệu quả</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sửa đổi, bổ sung một số điều của Luật Sử dụng năng lượng tiết kiệm và hiệu quả số 77/2025/QH15 cập nhật các tiêu chuẩn, định mức hiệu suất năng lượng tối thiểu, tiến tới loại bỏ thiết bị lạc hậu, khuyến khích thị trường sản xuất và tiêu dùng những phương tiện, thiết bị hiệu suất cao, thân thiện môi trường.</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thực hiện cắt giảm 2/4 thủ tục hành chính (50%) về cấp giấy chứng nhận dán nhãn năng lượng và cấp chứng chỉ kiểm toán năng lượng, giữ nguyên 2 thủ tục cấp chứng chỉ người quản lý năng lượng và chứng nhận phòng thử nghiệm hiệu suất năng lượng.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9. </w:t>
      </w:r>
      <w:r>
        <w:rPr>
          <w:rFonts w:ascii="Times New Roman" w:hAnsi="Times New Roman" w:cs="Times New Roman"/>
          <w:b/>
          <w:color w:val="152C4A"/>
          <w:sz w:val="28"/>
          <w:szCs w:val="28"/>
        </w:rPr>
        <w:t>Luật sửa đổi, bổ sung một số điều của Luật Chất lượng sản phẩm, hàng hóa</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sửa đổi, bổ sung một số điều của Luật Chất lượng sản phẩm, hàng hóa số 78/2025/QH15 gồm 03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lastRenderedPageBreak/>
        <w:t>Về truy xuất nguồn gốc và minh bạch chuỗi cung ứng sản phẩm, hàng hóa (Điều 6d Luật Chất lượng sản phẩm, hàng hoá, được sửa đổi, bổ sung tại khoản 1 Điều 1 Luật sửa đổi, bổ sung một số điều của Luật Chất lượng sản phẩm, hàng hóa).</w:t>
      </w:r>
    </w:p>
    <w:p>
      <w:pPr>
        <w:pStyle w:val="NormalWeb"/>
        <w:spacing w:before="0" w:beforeAutospacing="0" w:after="0" w:afterAutospacing="0" w:line="288" w:lineRule="auto"/>
        <w:ind w:firstLine="720"/>
        <w:jc w:val="both"/>
        <w:rPr>
          <w:color w:val="152C4A"/>
          <w:sz w:val="28"/>
          <w:szCs w:val="28"/>
        </w:rPr>
      </w:pPr>
      <w:r>
        <w:rPr>
          <w:color w:val="152C4A"/>
          <w:sz w:val="28"/>
          <w:szCs w:val="28"/>
        </w:rPr>
        <w:t>Truy xuất nguồn gốc (traceability) đóng vai trò quan trọng trong việc đảm bảo chất lượng sản phẩm, hàng hóa, minh bạch hóa thông tin và tạo niềm tin cho người tiêu dùng, đồng thời giúp doanh nghiệp quản lý rủi ro và nâng cao khả năng cạnh tranh.</w:t>
      </w:r>
    </w:p>
    <w:p>
      <w:pPr>
        <w:pStyle w:val="NormalWeb"/>
        <w:spacing w:before="0" w:beforeAutospacing="0" w:after="0" w:afterAutospacing="0" w:line="288" w:lineRule="auto"/>
        <w:ind w:firstLine="720"/>
        <w:jc w:val="both"/>
        <w:rPr>
          <w:color w:val="152C4A"/>
          <w:sz w:val="28"/>
          <w:szCs w:val="28"/>
        </w:rPr>
      </w:pPr>
      <w:r>
        <w:rPr>
          <w:color w:val="152C4A"/>
          <w:sz w:val="28"/>
          <w:szCs w:val="28"/>
        </w:rPr>
        <w:t>Do đó, Luật sửa đổi, bổ sung một số điều của Luật Chất lượng sản phẩm, hàng hoá đã bổ sung quy định về truy xuất nguồn gốc và minh bạch chuỗi cung ứng sản phẩm, hàng hóa. </w:t>
      </w:r>
    </w:p>
    <w:p>
      <w:pPr>
        <w:pStyle w:val="NormalWeb"/>
        <w:spacing w:before="0" w:beforeAutospacing="0" w:after="0" w:afterAutospacing="0" w:line="288" w:lineRule="auto"/>
        <w:ind w:firstLine="720"/>
        <w:jc w:val="both"/>
        <w:rPr>
          <w:color w:val="152C4A"/>
          <w:sz w:val="28"/>
          <w:szCs w:val="28"/>
        </w:rPr>
      </w:pPr>
      <w:r>
        <w:rPr>
          <w:color w:val="152C4A"/>
          <w:sz w:val="28"/>
          <w:szCs w:val="28"/>
        </w:rPr>
        <w:t>Theo đó, việc truy xuất nguồn gốc và minh bạch chuỗi cung ứng sản phẩm, hàng hóa phải được thực hiện trên nguyên tắc trung thực, khách quan, bảo đảm tính xác thực và khả năng xác minh, không gây cản trở lưu thông hàng hóa và thống nhất với quy định của pháp luật về hải quan, thương mại, thuế và phòng vệ thương mại và quy định khác của luật có liên quan; hỗ trợ cơ quan có thẩm quyền trong việc xác minh nguồn gốc, quy trình sản xuất, thành phần và chất lượng sản phẩm, hàng hóa theo quy định của pháp luật.</w:t>
      </w:r>
    </w:p>
    <w:p>
      <w:pPr>
        <w:pStyle w:val="NormalWeb"/>
        <w:spacing w:before="0" w:beforeAutospacing="0" w:after="0" w:afterAutospacing="0" w:line="288" w:lineRule="auto"/>
        <w:ind w:firstLine="720"/>
        <w:jc w:val="both"/>
        <w:rPr>
          <w:color w:val="152C4A"/>
          <w:sz w:val="28"/>
          <w:szCs w:val="28"/>
        </w:rPr>
      </w:pPr>
      <w:r>
        <w:rPr>
          <w:color w:val="152C4A"/>
          <w:sz w:val="28"/>
          <w:szCs w:val="28"/>
        </w:rPr>
        <w:t>Đồng thời, Luật cũng đã quy định, đối với sản phẩm, hàng hóa có mức độ rủi ro cao, việc truy xuất nguồn gốc là bắt buộc do Bộ, cơ quan ngang Bộ xác định và có lộ trình thực hiện, bảo đảm tính khả thi, phù hợp với năng lực của doanh nghiệp và đặc thù phát triển của từng ngành hàng. </w:t>
      </w:r>
    </w:p>
    <w:p>
      <w:pPr>
        <w:pStyle w:val="NormalWeb"/>
        <w:spacing w:before="0" w:beforeAutospacing="0" w:after="0" w:afterAutospacing="0" w:line="288" w:lineRule="auto"/>
        <w:ind w:firstLine="720"/>
        <w:jc w:val="both"/>
        <w:rPr>
          <w:color w:val="152C4A"/>
          <w:sz w:val="28"/>
          <w:szCs w:val="28"/>
        </w:rPr>
      </w:pPr>
      <w:r>
        <w:rPr>
          <w:color w:val="152C4A"/>
          <w:sz w:val="28"/>
          <w:szCs w:val="28"/>
        </w:rPr>
        <w:t>Các tổ chức, cá nhân sản xuất, xuất khẩu, nhập khẩu, lưu thông sản phẩm, hàng hóa khác được khuyến khích và hỗ trợ triển khai truy xuất nguồn gốc, phù hợp với quy mô, đặc điểm ngành hàng và điều kiện sản xuất, kinh doanh.</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10. </w:t>
      </w:r>
      <w:r>
        <w:rPr>
          <w:rFonts w:ascii="Times New Roman" w:hAnsi="Times New Roman" w:cs="Times New Roman"/>
          <w:b/>
          <w:color w:val="152C4A"/>
          <w:sz w:val="28"/>
          <w:szCs w:val="28"/>
        </w:rPr>
        <w:t>Luật Đường sắt</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Đường sắt số 95/2025/QH15 gồm 4 chương, 59 điều, quy định về hoạt động đường sắt; quyền, nghĩa vụ và trách nhiệm của tổ chức, cá nhân liên quan đến hoạt động đường sắt.</w:t>
      </w:r>
    </w:p>
    <w:p>
      <w:pPr>
        <w:pStyle w:val="NormalWeb"/>
        <w:spacing w:before="0" w:beforeAutospacing="0" w:after="0" w:afterAutospacing="0" w:line="288" w:lineRule="auto"/>
        <w:ind w:firstLine="720"/>
        <w:jc w:val="both"/>
        <w:rPr>
          <w:color w:val="152C4A"/>
          <w:sz w:val="28"/>
          <w:szCs w:val="28"/>
        </w:rPr>
      </w:pPr>
      <w:r>
        <w:rPr>
          <w:b/>
          <w:bCs/>
          <w:color w:val="152C4A"/>
          <w:sz w:val="28"/>
          <w:szCs w:val="28"/>
        </w:rPr>
        <w:t>Luật nghiêm cấm các hành vi: </w:t>
      </w:r>
      <w:r>
        <w:rPr>
          <w:color w:val="152C4A"/>
          <w:sz w:val="28"/>
          <w:szCs w:val="28"/>
        </w:rPr>
        <w:t>Phá hoại công trình đường sắt, phương tiện giao thông đường sắt; gây rối trật tự an toàn giao thông đường sắt. Lấn, chiếm hành lang an toàn giao thông đường sắt, phạm vi bảo vệ công trình đường sắt; tự mở lối đi qua đường sắt khi chưa được cơ quan có thẩm quyền cho phép.</w:t>
      </w:r>
    </w:p>
    <w:p>
      <w:pPr>
        <w:pStyle w:val="NormalWeb"/>
        <w:spacing w:before="0" w:beforeAutospacing="0" w:after="0" w:afterAutospacing="0" w:line="288" w:lineRule="auto"/>
        <w:jc w:val="both"/>
        <w:rPr>
          <w:color w:val="152C4A"/>
          <w:sz w:val="28"/>
          <w:szCs w:val="28"/>
        </w:rPr>
      </w:pPr>
      <w:r>
        <w:rPr>
          <w:color w:val="152C4A"/>
          <w:sz w:val="28"/>
          <w:szCs w:val="28"/>
        </w:rPr>
        <w:lastRenderedPageBreak/>
        <w:t>Nghiêm cấm làm sai lệch, che lấp hệ thống báo hiệu, tín hiệu giao thông đường sắt. Tự ý báo hiệu hoặc sử dụng các thiết bị để dừng tàu, trừ trường hợp phát hiện có sự cố gây mất an toàn giao thông đường sắt.</w:t>
      </w:r>
    </w:p>
    <w:p>
      <w:pPr>
        <w:pStyle w:val="NormalWeb"/>
        <w:spacing w:before="0" w:beforeAutospacing="0" w:after="0" w:afterAutospacing="0" w:line="288" w:lineRule="auto"/>
        <w:ind w:firstLine="720"/>
        <w:jc w:val="both"/>
        <w:rPr>
          <w:color w:val="152C4A"/>
          <w:sz w:val="28"/>
          <w:szCs w:val="28"/>
        </w:rPr>
      </w:pPr>
      <w:r>
        <w:rPr>
          <w:b/>
          <w:bCs/>
          <w:color w:val="152C4A"/>
          <w:sz w:val="28"/>
          <w:szCs w:val="28"/>
        </w:rPr>
        <w:t>Luật cũng nghiêm cấm các hành vi:</w:t>
      </w:r>
      <w:r>
        <w:rPr>
          <w:color w:val="152C4A"/>
          <w:sz w:val="28"/>
          <w:szCs w:val="28"/>
        </w:rPr>
        <w:t> tự ý để chướng ngại vật, chất dễ cháy, chất dễ nổ, chất độc hại trong phạm vi bảo vệ công trình đường sắt và hành lang an toàn giao thông đường sắt. Điều khiển tàu chạy quá tốc độ quy định. Nhân viên đường sắt trong khi làm nhiệm vụ mà trong máu hoặc hơi thở có nồng độ cồn; trong cơ thể có chất ma túy hoặc có chất kích thích khác mà pháp luật cấm sử dụng.</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11. </w:t>
      </w:r>
      <w:r>
        <w:rPr>
          <w:rFonts w:ascii="Times New Roman" w:hAnsi="Times New Roman" w:cs="Times New Roman"/>
          <w:b/>
          <w:color w:val="152C4A"/>
          <w:sz w:val="28"/>
          <w:szCs w:val="28"/>
        </w:rPr>
        <w:t>Luật Năng lượng nguyên tử</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Năng lượng nguyên tử số 94/2025/QH15 gồm 8 Chương 73 Điều. Luật quy định một Chương riêng (Chương III) về an toàn bức xạ, bảo vệ bức xạ, an toàn hạt nhân và an ninh hật nhân, trong đó có quy định về địa điểm lưu giữ, xử lý, chôn cất chất thải phóng xạ, nguồn phóng xạ đã qua sử dụng và nhiên liệu hạt nhân đã qua sử dụng được xác định trong quy hoạch bảo vệ môi trường quốc gia, quy hoạch vùng, quy hoạch tỉnh, quy hoạch phát triển, ứng dụng năng lượng nguyên tử và quy hoạch khác có liên quan.</w:t>
      </w:r>
    </w:p>
    <w:p>
      <w:pPr>
        <w:pStyle w:val="NormalWeb"/>
        <w:spacing w:before="0" w:beforeAutospacing="0" w:after="0" w:afterAutospacing="0" w:line="288" w:lineRule="auto"/>
        <w:ind w:firstLine="720"/>
        <w:jc w:val="both"/>
        <w:rPr>
          <w:color w:val="152C4A"/>
          <w:sz w:val="28"/>
          <w:szCs w:val="28"/>
        </w:rPr>
      </w:pPr>
      <w:r>
        <w:rPr>
          <w:color w:val="152C4A"/>
          <w:sz w:val="28"/>
          <w:szCs w:val="28"/>
        </w:rPr>
        <w:t>Về nhà máy điện hạt nhân, Luật  quy định về việc giám sát an toàn và bảo đảm an ninh trong suốt vòng đời của nhà máy điện hạt nhân, bảo đảm tính đồng bộ của hệ thống pháp luật, phù hợp với thông lệ quốc tế và hướng dẫn của IAEA.</w:t>
      </w:r>
    </w:p>
    <w:p>
      <w:pPr>
        <w:spacing w:after="0" w:line="288" w:lineRule="auto"/>
        <w:jc w:val="both"/>
        <w:rPr>
          <w:rFonts w:ascii="Times New Roman" w:hAnsi="Times New Roman" w:cs="Times New Roman"/>
          <w:sz w:val="28"/>
          <w:szCs w:val="28"/>
        </w:rPr>
      </w:pPr>
      <w:r>
        <w:rPr>
          <w:rFonts w:ascii="Times New Roman" w:hAnsi="Times New Roman" w:cs="Times New Roman"/>
          <w:noProof/>
          <w:color w:val="0000FF"/>
          <w:sz w:val="28"/>
          <w:szCs w:val="28"/>
        </w:rPr>
        <w:drawing>
          <wp:inline distT="0" distB="0" distL="0" distR="0">
            <wp:extent cx="5857875" cy="1885950"/>
            <wp:effectExtent l="0" t="0" r="9525" b="0"/>
            <wp:docPr id="2" name="Picture 2" descr="Những Luật, Nghị quyết có hiệu lực từ 1/1/2026- Ảnh 4.">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8208609663713280" descr="Những Luật, Nghị quyết có hiệu lực từ 1/1/2026- Ảnh 4.">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885950"/>
                    </a:xfrm>
                    <a:prstGeom prst="rect">
                      <a:avLst/>
                    </a:prstGeom>
                    <a:noFill/>
                    <a:ln>
                      <a:noFill/>
                    </a:ln>
                  </pic:spPr>
                </pic:pic>
              </a:graphicData>
            </a:graphic>
          </wp:inline>
        </w:drawing>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12. </w:t>
      </w:r>
      <w:r>
        <w:rPr>
          <w:rFonts w:ascii="Times New Roman" w:hAnsi="Times New Roman" w:cs="Times New Roman"/>
          <w:b/>
          <w:color w:val="152C4A"/>
          <w:sz w:val="28"/>
          <w:szCs w:val="28"/>
        </w:rPr>
        <w:t>Luật Bảo vệ dữ liệu cá nhân</w:t>
      </w:r>
    </w:p>
    <w:p>
      <w:pPr>
        <w:pStyle w:val="NormalWeb"/>
        <w:spacing w:before="0" w:beforeAutospacing="0" w:after="0" w:afterAutospacing="0" w:line="288" w:lineRule="auto"/>
        <w:ind w:firstLine="720"/>
        <w:jc w:val="both"/>
        <w:rPr>
          <w:color w:val="152C4A"/>
          <w:sz w:val="28"/>
          <w:szCs w:val="28"/>
        </w:rPr>
      </w:pPr>
      <w:r>
        <w:rPr>
          <w:color w:val="152C4A"/>
          <w:sz w:val="28"/>
          <w:szCs w:val="28"/>
        </w:rPr>
        <w:t>Ngày 26/6/2025, tại Kỳ họp thứ 9, Quốc hội nước Cộng hòa xã hội chủ nghĩa Việt Nam đã chính thức thông qua Luật Bảo vệ dữ liệu cá nhân (Luật số 91/2025/QH15). </w:t>
      </w:r>
    </w:p>
    <w:p>
      <w:pPr>
        <w:pStyle w:val="NormalWeb"/>
        <w:spacing w:before="0" w:beforeAutospacing="0" w:after="0" w:afterAutospacing="0" w:line="288" w:lineRule="auto"/>
        <w:ind w:firstLine="720"/>
        <w:jc w:val="both"/>
        <w:rPr>
          <w:color w:val="152C4A"/>
          <w:sz w:val="28"/>
          <w:szCs w:val="28"/>
        </w:rPr>
      </w:pPr>
      <w:r>
        <w:rPr>
          <w:color w:val="152C4A"/>
          <w:sz w:val="28"/>
          <w:szCs w:val="28"/>
        </w:rPr>
        <w:t xml:space="preserve">Theo đó, có một số quy định đáng chú ý như nghiêm cấm mua bán dữ liệu cá nhân; doanh nghiệp phải xóa dữ liệu cá nhân người lao động sau khi chấm dứt hợp </w:t>
      </w:r>
      <w:r>
        <w:rPr>
          <w:color w:val="152C4A"/>
          <w:sz w:val="28"/>
          <w:szCs w:val="28"/>
        </w:rPr>
        <w:lastRenderedPageBreak/>
        <w:t>đồng; mạng xã hội không được yêu cầu cung cấp hình ảnh, video chứa nội dung về giấy tờ tùy thân làm yếu tố xác thực...</w:t>
      </w:r>
    </w:p>
    <w:p>
      <w:pPr>
        <w:pStyle w:val="NormalWeb"/>
        <w:spacing w:before="0" w:beforeAutospacing="0" w:after="0" w:afterAutospacing="0" w:line="288" w:lineRule="auto"/>
        <w:ind w:firstLine="720"/>
        <w:jc w:val="both"/>
        <w:rPr>
          <w:color w:val="152C4A"/>
          <w:sz w:val="28"/>
          <w:szCs w:val="28"/>
        </w:rPr>
      </w:pPr>
      <w:r>
        <w:rPr>
          <w:color w:val="152C4A"/>
          <w:sz w:val="28"/>
          <w:szCs w:val="28"/>
        </w:rPr>
        <w:t>Trong đó, Khoản 2 Điều 25 quy định về trách nhiệm bảo vệ dữ liệu cá nhân của cơ quan, tổ chức, cá nhân trong quản lý, sử dụng người lao động. Theo đó, doanh nghiệp sau khi chấm dứt hợp đồng phải có trách nhiệm:</w:t>
      </w:r>
    </w:p>
    <w:p>
      <w:pPr>
        <w:pStyle w:val="NormalWeb"/>
        <w:spacing w:before="0" w:beforeAutospacing="0" w:after="0" w:afterAutospacing="0" w:line="288" w:lineRule="auto"/>
        <w:ind w:firstLine="720"/>
        <w:jc w:val="both"/>
        <w:rPr>
          <w:color w:val="152C4A"/>
          <w:sz w:val="28"/>
          <w:szCs w:val="28"/>
        </w:rPr>
      </w:pPr>
      <w:r>
        <w:rPr>
          <w:color w:val="152C4A"/>
          <w:sz w:val="28"/>
          <w:szCs w:val="28"/>
        </w:rPr>
        <w:t>- Tuân thủ quy định của Luật này, pháp luật về lao động, việc làm, pháp luật về dữ liệu và quy định khác của pháp luật có liên quan;</w:t>
      </w:r>
    </w:p>
    <w:p>
      <w:pPr>
        <w:pStyle w:val="NormalWeb"/>
        <w:spacing w:before="0" w:beforeAutospacing="0" w:after="0" w:afterAutospacing="0" w:line="288" w:lineRule="auto"/>
        <w:ind w:firstLine="720"/>
        <w:jc w:val="both"/>
        <w:rPr>
          <w:color w:val="152C4A"/>
          <w:sz w:val="28"/>
          <w:szCs w:val="28"/>
        </w:rPr>
      </w:pPr>
      <w:r>
        <w:rPr>
          <w:color w:val="152C4A"/>
          <w:sz w:val="28"/>
          <w:szCs w:val="28"/>
        </w:rPr>
        <w:t>- Dữ liệu cá nhân của người lao động phải lưu trữ trong thời hạn theo quy định của pháp luật hoặc theo thỏa thuận;</w:t>
      </w:r>
    </w:p>
    <w:p>
      <w:pPr>
        <w:pStyle w:val="NormalWeb"/>
        <w:spacing w:before="0" w:beforeAutospacing="0" w:after="0" w:afterAutospacing="0" w:line="288" w:lineRule="auto"/>
        <w:ind w:firstLine="720"/>
        <w:jc w:val="both"/>
        <w:rPr>
          <w:color w:val="152C4A"/>
          <w:sz w:val="28"/>
          <w:szCs w:val="28"/>
        </w:rPr>
      </w:pPr>
      <w:r>
        <w:rPr>
          <w:color w:val="152C4A"/>
          <w:sz w:val="28"/>
          <w:szCs w:val="28"/>
        </w:rPr>
        <w:t>- Phải xóa, hủy dữ liệu cá nhân của người lao động khi chấm dứt hợp đồng, trừ trường hợp theo thỏa thuận hoặc pháp luật có quy định khác.</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13. </w:t>
      </w:r>
      <w:r>
        <w:rPr>
          <w:rFonts w:ascii="Times New Roman" w:hAnsi="Times New Roman" w:cs="Times New Roman"/>
          <w:b/>
          <w:color w:val="152C4A"/>
          <w:sz w:val="28"/>
          <w:szCs w:val="28"/>
        </w:rPr>
        <w:t>Luật Tham gia lực lượng gìn giữ hòa bình của Liên hợp quốc</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Tham gia lực lượng gìn giữ hòa bình của Liên Hợp Quốc số 92/2025/QH15 gồm 5 chương, 27 điều, có hiệu lực thi hành từ ngày 1/1/2026. </w:t>
      </w:r>
    </w:p>
    <w:p>
      <w:pPr>
        <w:pStyle w:val="NormalWeb"/>
        <w:spacing w:before="0" w:beforeAutospacing="0" w:after="0" w:afterAutospacing="0" w:line="288" w:lineRule="auto"/>
        <w:jc w:val="both"/>
        <w:rPr>
          <w:color w:val="152C4A"/>
          <w:sz w:val="28"/>
          <w:szCs w:val="28"/>
        </w:rPr>
      </w:pPr>
      <w:r>
        <w:rPr>
          <w:color w:val="152C4A"/>
          <w:sz w:val="28"/>
          <w:szCs w:val="28"/>
        </w:rPr>
        <w:t>Luật quy định về nguyên tắc, vị trí, chức năng, đối tượng, hình thức, lĩnh vực, hợp tác quốc tế, xây dựng, triển khai lực lượng, bảo đảm nguồn lực, chế độ, chính sách và trách nhiệm cơ quan, tổ chức, cá nhân trong việc tham gia lực lượng gìn giữ hòa bình của Liên Hợp Quốc.</w:t>
      </w:r>
    </w:p>
    <w:p>
      <w:pPr>
        <w:pStyle w:val="NormalWeb"/>
        <w:spacing w:before="0" w:beforeAutospacing="0" w:after="0" w:afterAutospacing="0" w:line="288" w:lineRule="auto"/>
        <w:ind w:firstLine="720"/>
        <w:jc w:val="both"/>
        <w:rPr>
          <w:color w:val="152C4A"/>
          <w:sz w:val="28"/>
          <w:szCs w:val="28"/>
        </w:rPr>
      </w:pPr>
      <w:r>
        <w:rPr>
          <w:color w:val="152C4A"/>
          <w:sz w:val="28"/>
          <w:szCs w:val="28"/>
        </w:rPr>
        <w:t>Theo Luật, lực lượng Việt Nam tham gia hoạt động gìn giữ hòa bình Liên Hợp Quốc là lực lượng được Nhà nước Cộng hòa xã hội chủ nghĩa Việt Nam cử tham gia vào lực lượng gìn giữ hòa bình của Liên Hợp Quốc, nhằm thể hiện vai trò và trách nhiệm của Việt Nam trong cộng đồng quốc tế, góp phần nâng cao vị thế, uy tín của Việt Nam. </w:t>
      </w:r>
    </w:p>
    <w:p>
      <w:pPr>
        <w:pStyle w:val="NormalWeb"/>
        <w:spacing w:before="0" w:beforeAutospacing="0" w:after="0" w:afterAutospacing="0" w:line="288" w:lineRule="auto"/>
        <w:ind w:firstLine="720"/>
        <w:jc w:val="both"/>
        <w:rPr>
          <w:color w:val="152C4A"/>
          <w:sz w:val="28"/>
          <w:szCs w:val="28"/>
        </w:rPr>
      </w:pPr>
      <w:r>
        <w:rPr>
          <w:color w:val="152C4A"/>
          <w:sz w:val="28"/>
          <w:szCs w:val="28"/>
        </w:rPr>
        <w:t>Lực lượng Việt Nam tham gia hoạt động gìn giữ hòa bình Liên Hợp Quốc có chức năng duy trì và bảo vệ hòa bình khu vực và thế giới, thực hiện đường lối đối ngoại độc lập, tự chủ, hòa bình, hợp tác và phát triển; đa phương hóa, đa dạng hóa quan hệ quốc tế theo chủ trương của Đảng và Nhà nước.</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14. </w:t>
      </w:r>
      <w:r>
        <w:rPr>
          <w:rFonts w:ascii="Times New Roman" w:hAnsi="Times New Roman" w:cs="Times New Roman"/>
          <w:b/>
          <w:color w:val="152C4A"/>
          <w:sz w:val="28"/>
          <w:szCs w:val="28"/>
        </w:rPr>
        <w:t>Luật Ngân sách Nhà nước</w:t>
      </w:r>
    </w:p>
    <w:p>
      <w:pPr>
        <w:pStyle w:val="NormalWeb"/>
        <w:spacing w:before="0" w:beforeAutospacing="0" w:after="0" w:afterAutospacing="0" w:line="288" w:lineRule="auto"/>
        <w:ind w:firstLine="720"/>
        <w:jc w:val="both"/>
        <w:rPr>
          <w:color w:val="152C4A"/>
          <w:sz w:val="28"/>
          <w:szCs w:val="28"/>
        </w:rPr>
      </w:pPr>
      <w:r>
        <w:rPr>
          <w:color w:val="152C4A"/>
          <w:sz w:val="28"/>
          <w:szCs w:val="28"/>
        </w:rPr>
        <w:t>Luật Ngân sách Nhà nước số 89/2025/QH15 có bố cục bao gồm 7 Chương, 79 Điều.</w:t>
      </w:r>
    </w:p>
    <w:p>
      <w:pPr>
        <w:pStyle w:val="NormalWeb"/>
        <w:spacing w:before="0" w:beforeAutospacing="0" w:after="0" w:afterAutospacing="0" w:line="288" w:lineRule="auto"/>
        <w:ind w:firstLine="720"/>
        <w:jc w:val="both"/>
        <w:rPr>
          <w:color w:val="152C4A"/>
          <w:sz w:val="28"/>
          <w:szCs w:val="28"/>
        </w:rPr>
      </w:pPr>
      <w:r>
        <w:rPr>
          <w:color w:val="152C4A"/>
          <w:sz w:val="28"/>
          <w:szCs w:val="28"/>
        </w:rPr>
        <w:t xml:space="preserve">Trong đó, Ngân sách Trung ương (NSTW), ngân sách cấp tỉnh, ngân sách cấp xã được phân cấp nguồn thu và nhiệm vụ chi cụ thể; NSTW giữ vai trò chủ đạo, bảo đảm thực hiện các nhiệm vụ chi quốc gia, hỗ trợ địa phương chưa cân đối được ngân </w:t>
      </w:r>
      <w:r>
        <w:rPr>
          <w:color w:val="152C4A"/>
          <w:sz w:val="28"/>
          <w:szCs w:val="28"/>
        </w:rPr>
        <w:lastRenderedPageBreak/>
        <w:t>sách; Ngân sách địa phương (NSĐP) được phân cấp nguồn thu bảo đảm chủ động thực hiện những nhiệm vụ chi được giao. </w:t>
      </w:r>
    </w:p>
    <w:p>
      <w:pPr>
        <w:pStyle w:val="NormalWeb"/>
        <w:spacing w:before="0" w:beforeAutospacing="0" w:after="0" w:afterAutospacing="0" w:line="288" w:lineRule="auto"/>
        <w:ind w:firstLine="720"/>
        <w:jc w:val="both"/>
        <w:rPr>
          <w:color w:val="152C4A"/>
          <w:sz w:val="28"/>
          <w:szCs w:val="28"/>
        </w:rPr>
      </w:pPr>
      <w:r>
        <w:rPr>
          <w:color w:val="152C4A"/>
          <w:sz w:val="28"/>
          <w:szCs w:val="28"/>
        </w:rPr>
        <w:t>Quy định nguyên tắc chung nhiệm vụ chi thuộc ngân sách cấp nào do ngân sách cấp đó bảo đảm; tuy nhiên, để tăng cường sự chủ động trong quản lý, điều hành NSĐP, góp phần thực hiện mục tiêu phát triển chung, Luật cho phép các trường hợp: </w:t>
      </w:r>
    </w:p>
    <w:p>
      <w:pPr>
        <w:pStyle w:val="NormalWeb"/>
        <w:spacing w:before="0" w:beforeAutospacing="0" w:after="0" w:afterAutospacing="0" w:line="288" w:lineRule="auto"/>
        <w:ind w:firstLine="720"/>
        <w:jc w:val="both"/>
        <w:rPr>
          <w:color w:val="152C4A"/>
          <w:sz w:val="28"/>
          <w:szCs w:val="28"/>
        </w:rPr>
      </w:pPr>
      <w:r>
        <w:rPr>
          <w:color w:val="152C4A"/>
          <w:sz w:val="28"/>
          <w:szCs w:val="28"/>
        </w:rPr>
        <w:t>(i) Ngân sách cấp dưới hỗ trợ cho các đơn vị thuộc cấp trên quản lý đóng trên địa bàn trong trường hợp xảy ra thiên tai, thảm họa, dịch bệnh và các trường hợp cấp thiết khác; </w:t>
      </w:r>
    </w:p>
    <w:p>
      <w:pPr>
        <w:pStyle w:val="NormalWeb"/>
        <w:spacing w:before="0" w:beforeAutospacing="0" w:after="0" w:afterAutospacing="0" w:line="288" w:lineRule="auto"/>
        <w:ind w:firstLine="720"/>
        <w:jc w:val="both"/>
        <w:rPr>
          <w:color w:val="152C4A"/>
          <w:sz w:val="28"/>
          <w:szCs w:val="28"/>
        </w:rPr>
      </w:pPr>
      <w:r>
        <w:rPr>
          <w:color w:val="152C4A"/>
          <w:sz w:val="28"/>
          <w:szCs w:val="28"/>
        </w:rPr>
        <w:t>(ii) Sử dụng dự phòng NSĐP để hỗ trợ địa phương khác khắc phục hậu quả thiên tai, thảm họa, dịch bệnh và một số nhiệm vụ quan trọng, cấp bách khác; </w:t>
      </w:r>
    </w:p>
    <w:p>
      <w:pPr>
        <w:pStyle w:val="NormalWeb"/>
        <w:spacing w:before="0" w:beforeAutospacing="0" w:after="0" w:afterAutospacing="0" w:line="288" w:lineRule="auto"/>
        <w:ind w:firstLine="720"/>
        <w:jc w:val="both"/>
        <w:rPr>
          <w:color w:val="152C4A"/>
          <w:sz w:val="28"/>
          <w:szCs w:val="28"/>
        </w:rPr>
      </w:pPr>
      <w:r>
        <w:rPr>
          <w:color w:val="152C4A"/>
          <w:sz w:val="28"/>
          <w:szCs w:val="28"/>
        </w:rPr>
        <w:t>(iii) Sử dụng vốn đầu tư phát triển của NSĐP cho các dự án đầu tư trên địa bàn thuộc nhiệm vụ chi của ngân sách cấp trên trực tiếp; hỗ trợ địa phương khác đầu tư xây dựng dự án.</w:t>
      </w:r>
    </w:p>
    <w:p>
      <w:pPr>
        <w:pStyle w:val="NormalWeb"/>
        <w:spacing w:before="0" w:beforeAutospacing="0" w:after="0" w:afterAutospacing="0" w:line="288" w:lineRule="auto"/>
        <w:ind w:firstLine="720"/>
        <w:jc w:val="both"/>
        <w:rPr>
          <w:color w:val="152C4A"/>
          <w:sz w:val="28"/>
          <w:szCs w:val="28"/>
        </w:rPr>
      </w:pPr>
      <w:r>
        <w:rPr>
          <w:color w:val="152C4A"/>
          <w:sz w:val="28"/>
          <w:szCs w:val="28"/>
        </w:rPr>
        <w:t>- Điều chỉnh tăng mức bố trí dự phòng tối đa từ 4% lên 5% tổng chi ngân sách mỗi cấp và bổ sung quy định phạm vi chi từ nguồn dự phòng đối với chi dự trữ quốc gia; nhiệm vụ đối ngoại đột xuất, cấp bách của Nhà nước;... để thống nhất trong tổ chức thực hiện, tăng chủ động của các cấp ngân sách, phù hợp với yêu cầu quản lý NSNN và quy định pháp luật khác có liên quan.</w:t>
      </w:r>
    </w:p>
    <w:p>
      <w:pPr>
        <w:spacing w:after="0" w:line="288" w:lineRule="auto"/>
        <w:jc w:val="both"/>
        <w:rPr>
          <w:rFonts w:ascii="Times New Roman" w:hAnsi="Times New Roman" w:cs="Times New Roman"/>
          <w:sz w:val="28"/>
          <w:szCs w:val="28"/>
        </w:rPr>
      </w:pPr>
      <w:r>
        <w:rPr>
          <w:rFonts w:ascii="Times New Roman" w:hAnsi="Times New Roman" w:cs="Times New Roman"/>
          <w:noProof/>
          <w:color w:val="0000FF"/>
          <w:sz w:val="28"/>
          <w:szCs w:val="28"/>
        </w:rPr>
        <w:drawing>
          <wp:inline distT="0" distB="0" distL="0" distR="0">
            <wp:extent cx="5486400" cy="2428875"/>
            <wp:effectExtent l="0" t="0" r="0" b="9525"/>
            <wp:docPr id="1" name="Picture 1" descr="Những Luật, Nghị quyết có hiệu lực từ 1/1/2026- Ảnh 5.">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8209230011539456" descr="Những Luật, Nghị quyết có hiệu lực từ 1/1/2026- Ảnh 5.">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428875"/>
                    </a:xfrm>
                    <a:prstGeom prst="rect">
                      <a:avLst/>
                    </a:prstGeom>
                    <a:noFill/>
                    <a:ln>
                      <a:noFill/>
                    </a:ln>
                  </pic:spPr>
                </pic:pic>
              </a:graphicData>
            </a:graphic>
          </wp:inline>
        </w:drawing>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15. </w:t>
      </w:r>
      <w:r>
        <w:rPr>
          <w:rFonts w:ascii="Times New Roman" w:hAnsi="Times New Roman" w:cs="Times New Roman"/>
          <w:b/>
          <w:color w:val="152C4A"/>
          <w:sz w:val="28"/>
          <w:szCs w:val="28"/>
        </w:rPr>
        <w:t>Quy định một số cơ chế, chính sách tháo gỡ khó khăn, vướng mắc trong tổ chức thi hành Luật Đất đai</w:t>
      </w:r>
    </w:p>
    <w:p>
      <w:pPr>
        <w:pStyle w:val="NormalWeb"/>
        <w:spacing w:before="0" w:beforeAutospacing="0" w:after="0" w:afterAutospacing="0" w:line="288" w:lineRule="auto"/>
        <w:jc w:val="both"/>
        <w:rPr>
          <w:color w:val="152C4A"/>
          <w:sz w:val="28"/>
          <w:szCs w:val="28"/>
        </w:rPr>
      </w:pPr>
      <w:r>
        <w:rPr>
          <w:color w:val="152C4A"/>
          <w:sz w:val="28"/>
          <w:szCs w:val="28"/>
        </w:rPr>
        <w:t> </w:t>
      </w:r>
      <w:r>
        <w:rPr>
          <w:color w:val="152C4A"/>
          <w:sz w:val="28"/>
          <w:szCs w:val="28"/>
        </w:rPr>
        <w:tab/>
      </w:r>
      <w:r>
        <w:rPr>
          <w:color w:val="152C4A"/>
          <w:sz w:val="28"/>
          <w:szCs w:val="28"/>
        </w:rPr>
        <w:t>Quốc hội ban hành Nghị quyết 254/2025/QH15 quy định một số cơ chế, chính sách tháo gỡ khó khăn, vướng mắc trong tổ chức thi hành Luật Đất đai.</w:t>
      </w:r>
    </w:p>
    <w:p>
      <w:pPr>
        <w:pStyle w:val="NormalWeb"/>
        <w:spacing w:before="0" w:beforeAutospacing="0" w:after="0" w:afterAutospacing="0" w:line="288" w:lineRule="auto"/>
        <w:jc w:val="both"/>
        <w:rPr>
          <w:color w:val="152C4A"/>
          <w:sz w:val="28"/>
          <w:szCs w:val="28"/>
        </w:rPr>
      </w:pPr>
      <w:r>
        <w:rPr>
          <w:color w:val="152C4A"/>
          <w:sz w:val="28"/>
          <w:szCs w:val="28"/>
        </w:rPr>
        <w:lastRenderedPageBreak/>
        <w:t>Trong đó, Bảng giá đất được xây dựng theo loại dất, khu vực, vị trí. Đối với khu vực có bản đồ địa chính dạng số và cơ sở dữ liệu giá đất thì được xây dựng bảng giá đất đến từng thửa đất.</w:t>
      </w:r>
    </w:p>
    <w:p>
      <w:pPr>
        <w:pStyle w:val="NormalWeb"/>
        <w:spacing w:before="0" w:beforeAutospacing="0" w:after="0" w:afterAutospacing="0" w:line="288" w:lineRule="auto"/>
        <w:ind w:firstLine="720"/>
        <w:jc w:val="both"/>
        <w:rPr>
          <w:color w:val="152C4A"/>
          <w:sz w:val="28"/>
          <w:szCs w:val="28"/>
        </w:rPr>
      </w:pPr>
      <w:r>
        <w:rPr>
          <w:color w:val="152C4A"/>
          <w:sz w:val="28"/>
          <w:szCs w:val="28"/>
        </w:rPr>
        <w:t>Hội đồng nhân dân cấp tỉnh quyết định bảng giá đất, công bố và áp dụng từ ngày 1/1/2026; sửa đổi, bổ sung bảng giá đất khi cần thiết.</w:t>
      </w:r>
    </w:p>
    <w:p>
      <w:pPr>
        <w:pStyle w:val="NormalWeb"/>
        <w:spacing w:before="0" w:beforeAutospacing="0" w:after="0" w:afterAutospacing="0" w:line="288" w:lineRule="auto"/>
        <w:ind w:firstLine="720"/>
        <w:jc w:val="both"/>
        <w:rPr>
          <w:color w:val="152C4A"/>
          <w:sz w:val="28"/>
          <w:szCs w:val="28"/>
        </w:rPr>
      </w:pPr>
      <w:r>
        <w:rPr>
          <w:color w:val="152C4A"/>
          <w:sz w:val="28"/>
          <w:szCs w:val="28"/>
        </w:rPr>
        <w:t>Đối với các trường hợp áp dụng giá đất cụ thể quy định tại Điều 160 của Luật Đất đai nhưng đến ngày Nghị quyết này có hiệu lực thi hành (1/1/2026), cơ quan, người có thẩm quyền chưa ban hành quyết định về giá đất cụ thể thì Ủy ban nhân dân cấp tỉnh quyết định việc áp dụng xác định giá đất theo quy định của Nghị quyết này hoặc tiếp tục xác định giá đất cụ thể theo quy dịnh của Luật Đất đai.</w:t>
      </w:r>
    </w:p>
    <w:p>
      <w:pPr>
        <w:pStyle w:val="NormalWeb"/>
        <w:spacing w:before="0" w:beforeAutospacing="0" w:after="0" w:afterAutospacing="0" w:line="288" w:lineRule="auto"/>
        <w:ind w:firstLine="720"/>
        <w:jc w:val="both"/>
        <w:rPr>
          <w:color w:val="152C4A"/>
          <w:sz w:val="28"/>
          <w:szCs w:val="28"/>
        </w:rPr>
      </w:pPr>
      <w:r>
        <w:rPr>
          <w:color w:val="152C4A"/>
          <w:sz w:val="28"/>
          <w:szCs w:val="28"/>
        </w:rPr>
        <w:t>Trường hợp quyết định việc áp dụng xác định giá đất theo quy định của Nghị quyết này thì thời điểm tính tiền sử dụng đất, tiền thuê đất là thời điểm cơ quan, người có thẩm quyền ban hành đầy đủ căn cứ để tính tiền sử dụng đất, tiền thuê đất theo quy định của Nghị quyết này.</w:t>
      </w:r>
    </w:p>
    <w:p>
      <w:pPr>
        <w:pStyle w:val="NormalWeb"/>
        <w:spacing w:before="0" w:beforeAutospacing="0" w:after="0" w:afterAutospacing="0" w:line="288" w:lineRule="auto"/>
        <w:ind w:firstLine="720"/>
        <w:jc w:val="both"/>
        <w:rPr>
          <w:color w:val="152C4A"/>
          <w:sz w:val="28"/>
          <w:szCs w:val="28"/>
        </w:rPr>
      </w:pPr>
      <w:r>
        <w:rPr>
          <w:color w:val="152C4A"/>
          <w:sz w:val="28"/>
          <w:szCs w:val="28"/>
        </w:rPr>
        <w:t>Quốc hội yêu cầu, cơ quan, người có thấm quyền phải ban hành đầy đủ căn cứ để tính tiền sử dụng đất, tiền thuê đất, tiền bồi thường về đất theo quy định của Nghị quyết này chậm nhất đến ngày 1/7/2026.</w:t>
      </w:r>
    </w:p>
    <w:p>
      <w:pPr>
        <w:pStyle w:val="Heading2"/>
        <w:spacing w:before="0" w:line="288" w:lineRule="auto"/>
        <w:ind w:firstLine="720"/>
        <w:jc w:val="both"/>
        <w:rPr>
          <w:rFonts w:ascii="Times New Roman" w:hAnsi="Times New Roman" w:cs="Times New Roman"/>
          <w:b/>
          <w:color w:val="152C4A"/>
          <w:sz w:val="28"/>
          <w:szCs w:val="28"/>
        </w:rPr>
      </w:pPr>
      <w:r>
        <w:rPr>
          <w:rFonts w:ascii="Times New Roman" w:hAnsi="Times New Roman" w:cs="Times New Roman"/>
          <w:b/>
          <w:color w:val="152C4A"/>
          <w:sz w:val="28"/>
          <w:szCs w:val="28"/>
        </w:rPr>
        <w:t xml:space="preserve">16. </w:t>
      </w:r>
      <w:r>
        <w:rPr>
          <w:rFonts w:ascii="Times New Roman" w:hAnsi="Times New Roman" w:cs="Times New Roman"/>
          <w:b/>
          <w:color w:val="152C4A"/>
          <w:sz w:val="28"/>
          <w:szCs w:val="28"/>
        </w:rPr>
        <w:t>Một số cơ chế, chính sách đặc biệt tạo đột phá cho công tác bảo vệ, chăm sóc và nâng cao sức khỏe nhân dân</w:t>
      </w:r>
    </w:p>
    <w:p>
      <w:pPr>
        <w:pStyle w:val="NormalWeb"/>
        <w:spacing w:before="0" w:beforeAutospacing="0" w:after="0" w:afterAutospacing="0" w:line="288" w:lineRule="auto"/>
        <w:ind w:firstLine="720"/>
        <w:jc w:val="both"/>
        <w:rPr>
          <w:color w:val="152C4A"/>
          <w:sz w:val="28"/>
          <w:szCs w:val="28"/>
        </w:rPr>
      </w:pPr>
      <w:r>
        <w:rPr>
          <w:color w:val="152C4A"/>
          <w:sz w:val="28"/>
          <w:szCs w:val="28"/>
        </w:rPr>
        <w:t>Quốc hội đã ban hành Nghị quyết 261/2025/QH15 về một số cơ chế, chính sách đặc biệt tạo đột phá cho công tác bảo vệ, chăm sóc và nâng cao sức khỏe nhân dân.</w:t>
      </w:r>
    </w:p>
    <w:p>
      <w:pPr>
        <w:pStyle w:val="NormalWeb"/>
        <w:spacing w:before="0" w:beforeAutospacing="0" w:after="0" w:afterAutospacing="0" w:line="288" w:lineRule="auto"/>
        <w:ind w:firstLine="720"/>
        <w:jc w:val="both"/>
        <w:rPr>
          <w:color w:val="152C4A"/>
          <w:sz w:val="28"/>
          <w:szCs w:val="28"/>
        </w:rPr>
      </w:pPr>
      <w:r>
        <w:rPr>
          <w:color w:val="152C4A"/>
          <w:sz w:val="28"/>
          <w:szCs w:val="28"/>
        </w:rPr>
        <w:t>Trong đó, người tham gia bảo hiểm y tế thuộc hộ gia đình cận nghèo, người cao tuổi từ đủ 75 tuổi trở lên đang hưởng trợ cấp hưu trí xã hội được áp dụng mức hưởng 100% chỉ phí khám bệnh, chữa bệnh trong phạm vi được hưởng của người tham gia bảo hiểm y tế.</w:t>
      </w:r>
    </w:p>
    <w:p>
      <w:pPr>
        <w:pStyle w:val="NormalWeb"/>
        <w:spacing w:before="0" w:beforeAutospacing="0" w:after="0" w:afterAutospacing="0" w:line="288" w:lineRule="auto"/>
        <w:ind w:firstLine="720"/>
        <w:jc w:val="both"/>
        <w:rPr>
          <w:color w:val="152C4A"/>
          <w:sz w:val="28"/>
          <w:szCs w:val="28"/>
        </w:rPr>
      </w:pPr>
      <w:r>
        <w:rPr>
          <w:color w:val="152C4A"/>
          <w:sz w:val="28"/>
          <w:szCs w:val="28"/>
        </w:rPr>
        <w:t>Về chế độ, chính sách về tiền lương, phụ cấp cho nhân viên y tế:</w:t>
      </w:r>
    </w:p>
    <w:p>
      <w:pPr>
        <w:pStyle w:val="NormalWeb"/>
        <w:spacing w:before="0" w:beforeAutospacing="0" w:after="0" w:afterAutospacing="0" w:line="288" w:lineRule="auto"/>
        <w:ind w:firstLine="720"/>
        <w:jc w:val="both"/>
        <w:rPr>
          <w:color w:val="152C4A"/>
          <w:sz w:val="28"/>
          <w:szCs w:val="28"/>
        </w:rPr>
      </w:pPr>
      <w:r>
        <w:rPr>
          <w:color w:val="152C4A"/>
          <w:sz w:val="28"/>
          <w:szCs w:val="28"/>
        </w:rPr>
        <w:t>1. Bác sĩ y khoa, bác sĩ y học cổ truyền, bác sĩ răng hàm mặt, bác sĩ y học dự phòng, dược sĩ được xếp lương từ bậc 2 khi được tuyển dụng vào chức danh nghề nghiệp tương ứng cho đến khi có quy định mới về tiền lương.</w:t>
      </w:r>
    </w:p>
    <w:p>
      <w:pPr>
        <w:pStyle w:val="NormalWeb"/>
        <w:spacing w:before="0" w:beforeAutospacing="0" w:after="0" w:afterAutospacing="0" w:line="288" w:lineRule="auto"/>
        <w:ind w:firstLine="720"/>
        <w:jc w:val="both"/>
        <w:rPr>
          <w:color w:val="152C4A"/>
          <w:sz w:val="28"/>
          <w:szCs w:val="28"/>
        </w:rPr>
      </w:pPr>
      <w:r>
        <w:rPr>
          <w:color w:val="152C4A"/>
          <w:sz w:val="28"/>
          <w:szCs w:val="28"/>
        </w:rPr>
        <w:t>2. Người thường xuyên và trực tiếp làm chuyên môn y tế thuộc lĩnh vực tâm thần, pháp y, pháp y tâm thần, hồi sức cấp cứu, giải phẫu bệnh được hưởng phụ cấp ưu đãi nghề ở mức 100%.</w:t>
      </w:r>
    </w:p>
    <w:p>
      <w:pPr>
        <w:pStyle w:val="NormalWeb"/>
        <w:spacing w:before="0" w:beforeAutospacing="0" w:after="0" w:afterAutospacing="0" w:line="288" w:lineRule="auto"/>
        <w:ind w:firstLine="720"/>
        <w:jc w:val="both"/>
        <w:rPr>
          <w:color w:val="152C4A"/>
          <w:sz w:val="28"/>
          <w:szCs w:val="28"/>
        </w:rPr>
      </w:pPr>
      <w:r>
        <w:rPr>
          <w:color w:val="152C4A"/>
          <w:sz w:val="28"/>
          <w:szCs w:val="28"/>
        </w:rPr>
        <w:lastRenderedPageBreak/>
        <w:t>3. Người thường xuyên và trực tiếp làm chuyên môn y tế tại trạm y tế cấp xã, cơ sở y tế dự phòng được hưởng phụ cấp ưu đãi nghề như sau:</w:t>
      </w:r>
    </w:p>
    <w:p>
      <w:pPr>
        <w:pStyle w:val="NormalWeb"/>
        <w:spacing w:before="0" w:beforeAutospacing="0" w:after="0" w:afterAutospacing="0" w:line="288" w:lineRule="auto"/>
        <w:ind w:firstLine="720"/>
        <w:jc w:val="both"/>
        <w:rPr>
          <w:color w:val="152C4A"/>
          <w:sz w:val="28"/>
          <w:szCs w:val="28"/>
        </w:rPr>
      </w:pPr>
      <w:r>
        <w:rPr>
          <w:color w:val="152C4A"/>
          <w:sz w:val="28"/>
          <w:szCs w:val="28"/>
        </w:rPr>
        <w:t>a) 100% đối với khu vực vùng đồng bào dân tộc thiểu số và miền núi, vùng có điều kiện kinh tế - xã hội khó khăn, vùng có điều kiện kinh tế - xã hội đặc biệt khó khăn, biên giới, hải đảo;</w:t>
      </w:r>
    </w:p>
    <w:p>
      <w:pPr>
        <w:pStyle w:val="NormalWeb"/>
        <w:spacing w:before="0" w:beforeAutospacing="0" w:after="0" w:afterAutospacing="0" w:line="288" w:lineRule="auto"/>
        <w:ind w:firstLine="720"/>
        <w:jc w:val="both"/>
        <w:rPr>
          <w:color w:val="152C4A"/>
          <w:sz w:val="28"/>
          <w:szCs w:val="28"/>
        </w:rPr>
      </w:pPr>
      <w:r>
        <w:rPr>
          <w:color w:val="152C4A"/>
          <w:sz w:val="28"/>
          <w:szCs w:val="28"/>
        </w:rPr>
        <w:t>b) Tối thiểu 70% đối với trường hợp không thuộc điểm a khoản này.</w:t>
      </w:r>
    </w:p>
    <w:bookmarkEnd w:id="0"/>
    <w:p>
      <w:pPr>
        <w:spacing w:after="0" w:line="288" w:lineRule="auto"/>
        <w:jc w:val="both"/>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4D7A5-1FF7-402E-9389-356197E0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6669">
      <w:bodyDiv w:val="1"/>
      <w:marLeft w:val="0"/>
      <w:marRight w:val="0"/>
      <w:marTop w:val="0"/>
      <w:marBottom w:val="0"/>
      <w:divBdr>
        <w:top w:val="none" w:sz="0" w:space="0" w:color="auto"/>
        <w:left w:val="none" w:sz="0" w:space="0" w:color="auto"/>
        <w:bottom w:val="none" w:sz="0" w:space="0" w:color="auto"/>
        <w:right w:val="none" w:sz="0" w:space="0" w:color="auto"/>
      </w:divBdr>
      <w:divsChild>
        <w:div w:id="314186656">
          <w:marLeft w:val="0"/>
          <w:marRight w:val="0"/>
          <w:marTop w:val="0"/>
          <w:marBottom w:val="0"/>
          <w:divBdr>
            <w:top w:val="none" w:sz="0" w:space="0" w:color="auto"/>
            <w:left w:val="none" w:sz="0" w:space="0" w:color="auto"/>
            <w:bottom w:val="none" w:sz="0" w:space="0" w:color="auto"/>
            <w:right w:val="none" w:sz="0" w:space="0" w:color="auto"/>
          </w:divBdr>
        </w:div>
        <w:div w:id="1772775672">
          <w:marLeft w:val="0"/>
          <w:marRight w:val="0"/>
          <w:marTop w:val="0"/>
          <w:marBottom w:val="0"/>
          <w:divBdr>
            <w:top w:val="none" w:sz="0" w:space="0" w:color="auto"/>
            <w:left w:val="none" w:sz="0" w:space="0" w:color="auto"/>
            <w:bottom w:val="none" w:sz="0" w:space="0" w:color="auto"/>
            <w:right w:val="none" w:sz="0" w:space="0" w:color="auto"/>
          </w:divBdr>
        </w:div>
        <w:div w:id="441001729">
          <w:marLeft w:val="0"/>
          <w:marRight w:val="0"/>
          <w:marTop w:val="0"/>
          <w:marBottom w:val="0"/>
          <w:divBdr>
            <w:top w:val="none" w:sz="0" w:space="0" w:color="auto"/>
            <w:left w:val="none" w:sz="0" w:space="0" w:color="auto"/>
            <w:bottom w:val="none" w:sz="0" w:space="0" w:color="auto"/>
            <w:right w:val="none" w:sz="0" w:space="0" w:color="auto"/>
          </w:divBdr>
        </w:div>
        <w:div w:id="1899588822">
          <w:marLeft w:val="0"/>
          <w:marRight w:val="0"/>
          <w:marTop w:val="0"/>
          <w:marBottom w:val="0"/>
          <w:divBdr>
            <w:top w:val="none" w:sz="0" w:space="0" w:color="auto"/>
            <w:left w:val="none" w:sz="0" w:space="0" w:color="auto"/>
            <w:bottom w:val="none" w:sz="0" w:space="0" w:color="auto"/>
            <w:right w:val="none" w:sz="0" w:space="0" w:color="auto"/>
          </w:divBdr>
        </w:div>
      </w:divsChild>
    </w:div>
    <w:div w:id="14631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xdcs.cdnchinhphu.vn/446259493575335936/2025/12/24/dl-17665661774641277956100.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xdcs.cdnchinhphu.vn/446259493575335936/2025/12/24/hhvn-17665553683382127333343.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xdcs.cdnchinhphu.vn/446259493575335936/2025/12/24/dat-176656632532064820658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2856</Words>
  <Characters>16283</Characters>
  <Application>Microsoft Office Word</Application>
  <DocSecurity>0</DocSecurity>
  <Lines>135</Lines>
  <Paragraphs>38</Paragraphs>
  <ScaleCrop>false</ScaleCrop>
  <Company>Microsoft</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2025-12-29T07:20:00Z</dcterms:created>
  <dcterms:modified xsi:type="dcterms:W3CDTF">2025-12-29T07:48:00Z</dcterms:modified>
</cp:coreProperties>
</file>